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jc w:val="center"/>
      </w:pPr>
      <w:r>
        <w:t>INSTALLATION ARTISTIQUE INTERACTIVE • IA • ARCHIVES • MÉMOIRE COLONIALE</w:t>
      </w:r>
    </w:p>
    <w:p>
      <w:pPr>
        <w:pStyle w:val="Title"/>
        <w:jc w:val="center"/>
      </w:pPr>
      <w:r>
        <w:t>Léopold 2.0</w:t>
      </w:r>
    </w:p>
    <w:p>
      <w:pPr>
        <w:jc w:val="center"/>
      </w:pPr>
      <w:r>
        <w:rPr>
          <w:b/>
          <w:color w:val="5A5A5A"/>
          <w:sz w:val="34"/>
        </w:rPr>
        <w:t>Audience avec Léopold II</w:t>
      </w:r>
    </w:p>
    <w:p>
      <w:pPr>
        <w:pStyle w:val="BodyText"/>
      </w:pPr>
    </w:p>
    <w:p>
      <w:pPr>
        <w:pStyle w:val="BodyText"/>
      </w:pPr>
    </w:p>
    <w:p>
      <w:pPr>
        <w:pStyle w:val="Lead"/>
        <w:jc w:val="center"/>
      </w:pPr>
      <w:r>
        <w:t>Un portrait qui ne raconte pas l’Histoire : il tente de défendre sa version — jusqu’à ce que ses contradictions la fissurent.</w:t>
      </w:r>
    </w:p>
    <w:tbl>
      <w:tblPr>
        <w:tblW w:type="auto" w:w="0"/>
        <w:jc w:val="center"/>
        <w:tblLook w:firstColumn="1" w:firstRow="1" w:lastColumn="0" w:lastRow="0" w:noHBand="0" w:noVBand="1" w:val="04A0"/>
      </w:tblPr>
      <w:tblGrid>
        <w:gridCol w:w="9972"/>
      </w:tblGrid>
      <w:tr>
        <w:tc>
          <w:tcPr>
            <w:tcW w:type="dxa" w:w="9972"/>
            <w:shd w:fill="F3EFEA"/>
            <w:tcMar>
              <w:top w:w="160" w:type="dxa"/>
              <w:start w:w="160" w:type="dxa"/>
              <w:bottom w:w="160" w:type="dxa"/>
              <w:end w:w="160" w:type="dxa"/>
            </w:tcMar>
          </w:tcPr>
          <w:p>
            <w:r>
              <w:rPr>
                <w:b/>
                <w:color w:val="7B2626"/>
                <w:sz w:val="17"/>
              </w:rPr>
              <w:t>STATUT DU DOCUMENT</w:t>
            </w:r>
          </w:p>
          <w:p>
            <w:pPr>
              <w:pStyle w:val="BodyText"/>
            </w:pPr>
            <w:r>
              <w:t>Le socle reprend les éléments explicitement définis dans la note source « Dialogue avec Léopold II ». Les éléments nouveaux sont formulés comme propositions de développement afin de constituer un dossier exploitable pour résidence, financement, production et développement technique.</w:t>
            </w:r>
          </w:p>
        </w:tc>
      </w:tr>
    </w:tbl>
    <w:p/>
    <w:p>
      <w:pPr>
        <w:pStyle w:val="BodyText"/>
      </w:pPr>
    </w:p>
    <w:p>
      <w:pPr>
        <w:pStyle w:val="BodyText"/>
      </w:pPr>
    </w:p>
    <w:p>
      <w:pPr>
        <w:pStyle w:val="BodyText"/>
      </w:pPr>
    </w:p>
    <w:p>
      <w:pPr>
        <w:pStyle w:val="Kicker"/>
        <w:jc w:val="center"/>
      </w:pPr>
      <w:r>
        <w:t>Version de travail — août 2026</w:t>
      </w:r>
    </w:p>
    <w:p>
      <w:r>
        <w:br w:type="page"/>
      </w:r>
    </w:p>
    <w:p>
      <w:pPr>
        <w:pStyle w:val="Heading1"/>
        <w:keepNext/>
        <w:pBdr>
          <w:bottom w:val="single" w:sz="10" w:space="1" w:color="8C3B3B"/>
        </w:pBdr>
        <w:spacing w:before="180" w:after="100"/>
      </w:pPr>
      <w:r>
        <w:t>1. Synthèse du projet</w:t>
      </w:r>
    </w:p>
    <w:p>
      <w:pPr>
        <w:pStyle w:val="BodyText"/>
      </w:pPr>
      <w:r>
        <w:rPr>
          <w:b/>
        </w:rPr>
        <w:t xml:space="preserve">Léopold 2.0 </w:t>
      </w:r>
      <w:r>
        <w:t>est une installation interactive prenant la forme d’un portrait animé de Léopold II avec lequel le public peut converser. L’œuvre combine intelligence artificielle, archives historiques, écriture dramaturgique et installation visuelle afin de créer une confrontation critique avec une figure majeure et controversée de l’histoire belge.</w:t>
      </w:r>
    </w:p>
    <w:p>
      <w:pPr>
        <w:pStyle w:val="BodyText"/>
      </w:pPr>
      <w:r>
        <w:rPr>
          <w:b/>
        </w:rPr>
        <w:t xml:space="preserve">Principe dramaturgique : </w:t>
      </w:r>
      <w:r>
        <w:t>le personnage n’est pas une voix neutre. Il construit son propre récit, déplace sa responsabilité, mobilise le contexte historique et tente de préserver sa position d’autorité. Lorsque le visiteur confronte ses réponses aux contradictions documentées, son discours se fragilise progressivement et laisse apparaître des motivations économiques, politiques, personnelles et symboliques.</w:t>
      </w:r>
    </w:p>
    <w:p>
      <w:pPr>
        <w:pStyle w:val="BodyText"/>
      </w:pPr>
      <w:r>
        <w:t>L’installation se situe à la croisée du tableau vivant, du théâtre interactif, du procès symbolique et de l’archive augmentée. Sa force ne repose pas sur la seule prouesse de faire parler un portrait, mais sur l’évolution de sa stratégie de défense au fil de la confrontation.</w:t>
      </w:r>
    </w:p>
    <w:tbl>
      <w:tblPr>
        <w:tblStyle w:val="TableGrid"/>
        <w:tblW w:type="auto" w:w="0"/>
        <w:jc w:val="center"/>
        <w:tblLook w:firstColumn="1" w:firstRow="1" w:lastColumn="0" w:lastRow="0" w:noHBand="0" w:noVBand="1" w:val="04A0"/>
      </w:tblPr>
      <w:tblGrid>
        <w:gridCol w:w="4986"/>
        <w:gridCol w:w="4986"/>
      </w:tblGrid>
      <w:tr>
        <w:tc>
          <w:tcPr>
            <w:tcW w:type="dxa" w:w="4986"/>
            <w:shd w:fill="2B2B2B"/>
            <w:tcMar>
              <w:top w:w="110" w:type="dxa"/>
              <w:start w:w="110" w:type="dxa"/>
              <w:bottom w:w="110" w:type="dxa"/>
              <w:end w:w="110" w:type="dxa"/>
            </w:tcMar>
          </w:tcPr>
          <w:p>
            <w:r>
              <w:rPr>
                <w:b/>
                <w:color w:val="FFFFFF"/>
                <w:sz w:val="17"/>
              </w:rPr>
              <w:t>Élément</w:t>
            </w:r>
          </w:p>
        </w:tc>
        <w:tc>
          <w:tcPr>
            <w:tcW w:type="dxa" w:w="4986"/>
            <w:shd w:fill="2B2B2B"/>
            <w:tcMar>
              <w:top w:w="110" w:type="dxa"/>
              <w:start w:w="110" w:type="dxa"/>
              <w:bottom w:w="110" w:type="dxa"/>
              <w:end w:w="110" w:type="dxa"/>
            </w:tcMar>
          </w:tcPr>
          <w:p>
            <w:r>
              <w:rPr>
                <w:b/>
                <w:color w:val="FFFFFF"/>
                <w:sz w:val="17"/>
              </w:rPr>
              <w:t>Définition</w:t>
            </w:r>
          </w:p>
        </w:tc>
      </w:tr>
      <w:tr>
        <w:tc>
          <w:tcPr>
            <w:tcW w:type="dxa" w:w="4986"/>
            <w:tcMar>
              <w:top w:w="110" w:type="dxa"/>
              <w:start w:w="110" w:type="dxa"/>
              <w:bottom w:w="110" w:type="dxa"/>
              <w:end w:w="110" w:type="dxa"/>
            </w:tcMar>
            <w:vAlign w:val="top"/>
          </w:tcPr>
          <w:p>
            <w:pPr>
              <w:pStyle w:val="BodyText"/>
              <w:spacing w:after="0"/>
            </w:pPr>
            <w:r>
              <w:rPr>
                <w:sz w:val="17"/>
              </w:rPr>
              <w:t>Forme</w:t>
            </w:r>
          </w:p>
        </w:tc>
        <w:tc>
          <w:tcPr>
            <w:tcW w:type="dxa" w:w="4986"/>
            <w:tcMar>
              <w:top w:w="110" w:type="dxa"/>
              <w:start w:w="110" w:type="dxa"/>
              <w:bottom w:w="110" w:type="dxa"/>
              <w:end w:w="110" w:type="dxa"/>
            </w:tcMar>
            <w:vAlign w:val="top"/>
          </w:tcPr>
          <w:p>
            <w:pPr>
              <w:pStyle w:val="BodyText"/>
              <w:spacing w:after="0"/>
            </w:pPr>
            <w:r>
              <w:rPr>
                <w:sz w:val="17"/>
              </w:rPr>
              <w:t>Portrait encadré animé, doté d’une voix et d’une capacité de dialogue.</w:t>
            </w:r>
          </w:p>
        </w:tc>
      </w:tr>
      <w:tr>
        <w:tc>
          <w:tcPr>
            <w:tcW w:type="dxa" w:w="4986"/>
            <w:tcMar>
              <w:top w:w="110" w:type="dxa"/>
              <w:start w:w="110" w:type="dxa"/>
              <w:bottom w:w="110" w:type="dxa"/>
              <w:end w:w="110" w:type="dxa"/>
            </w:tcMar>
            <w:vAlign w:val="top"/>
          </w:tcPr>
          <w:p>
            <w:pPr>
              <w:pStyle w:val="BodyText"/>
              <w:spacing w:after="0"/>
            </w:pPr>
            <w:r>
              <w:rPr>
                <w:sz w:val="17"/>
              </w:rPr>
              <w:t>Interaction</w:t>
            </w:r>
          </w:p>
        </w:tc>
        <w:tc>
          <w:tcPr>
            <w:tcW w:type="dxa" w:w="4986"/>
            <w:tcMar>
              <w:top w:w="110" w:type="dxa"/>
              <w:start w:w="110" w:type="dxa"/>
              <w:bottom w:w="110" w:type="dxa"/>
              <w:end w:w="110" w:type="dxa"/>
            </w:tcMar>
            <w:vAlign w:val="top"/>
          </w:tcPr>
          <w:p>
            <w:pPr>
              <w:pStyle w:val="BodyText"/>
              <w:spacing w:after="0"/>
            </w:pPr>
            <w:r>
              <w:rPr>
                <w:sz w:val="17"/>
              </w:rPr>
              <w:t>Questions orales ou textuelles ; réponses contextualisées par un corpus documentaire.</w:t>
            </w:r>
          </w:p>
        </w:tc>
      </w:tr>
      <w:tr>
        <w:tc>
          <w:tcPr>
            <w:tcW w:type="dxa" w:w="4986"/>
            <w:tcMar>
              <w:top w:w="110" w:type="dxa"/>
              <w:start w:w="110" w:type="dxa"/>
              <w:bottom w:w="110" w:type="dxa"/>
              <w:end w:w="110" w:type="dxa"/>
            </w:tcMar>
            <w:vAlign w:val="top"/>
          </w:tcPr>
          <w:p>
            <w:pPr>
              <w:pStyle w:val="BodyText"/>
              <w:spacing w:after="0"/>
            </w:pPr>
            <w:r>
              <w:rPr>
                <w:sz w:val="17"/>
              </w:rPr>
              <w:t>Moteur artistique</w:t>
            </w:r>
          </w:p>
        </w:tc>
        <w:tc>
          <w:tcPr>
            <w:tcW w:type="dxa" w:w="4986"/>
            <w:tcMar>
              <w:top w:w="110" w:type="dxa"/>
              <w:start w:w="110" w:type="dxa"/>
              <w:bottom w:w="110" w:type="dxa"/>
              <w:end w:w="110" w:type="dxa"/>
            </w:tcMar>
            <w:vAlign w:val="top"/>
          </w:tcPr>
          <w:p>
            <w:pPr>
              <w:pStyle w:val="BodyText"/>
              <w:spacing w:after="0"/>
            </w:pPr>
            <w:r>
              <w:rPr>
                <w:sz w:val="17"/>
              </w:rPr>
              <w:t>Confrontation entre récit d’autorité, archives et contradictions du visiteur.</w:t>
            </w:r>
          </w:p>
        </w:tc>
      </w:tr>
      <w:tr>
        <w:tc>
          <w:tcPr>
            <w:tcW w:type="dxa" w:w="4986"/>
            <w:tcMar>
              <w:top w:w="110" w:type="dxa"/>
              <w:start w:w="110" w:type="dxa"/>
              <w:bottom w:w="110" w:type="dxa"/>
              <w:end w:w="110" w:type="dxa"/>
            </w:tcMar>
            <w:vAlign w:val="top"/>
          </w:tcPr>
          <w:p>
            <w:pPr>
              <w:pStyle w:val="BodyText"/>
              <w:spacing w:after="0"/>
            </w:pPr>
            <w:r>
              <w:rPr>
                <w:sz w:val="17"/>
              </w:rPr>
              <w:t>Sujet</w:t>
            </w:r>
          </w:p>
        </w:tc>
        <w:tc>
          <w:tcPr>
            <w:tcW w:type="dxa" w:w="4986"/>
            <w:tcMar>
              <w:top w:w="110" w:type="dxa"/>
              <w:start w:w="110" w:type="dxa"/>
              <w:bottom w:w="110" w:type="dxa"/>
              <w:end w:w="110" w:type="dxa"/>
            </w:tcMar>
            <w:vAlign w:val="top"/>
          </w:tcPr>
          <w:p>
            <w:pPr>
              <w:pStyle w:val="BodyText"/>
              <w:spacing w:after="0"/>
            </w:pPr>
            <w:r>
              <w:rPr>
                <w:sz w:val="17"/>
              </w:rPr>
              <w:t>Colonisation du Congo, responsabilité historique, langage du pouvoir et mémoire belge.</w:t>
            </w:r>
          </w:p>
        </w:tc>
      </w:tr>
      <w:tr>
        <w:tc>
          <w:tcPr>
            <w:tcW w:type="dxa" w:w="4986"/>
            <w:tcMar>
              <w:top w:w="110" w:type="dxa"/>
              <w:start w:w="110" w:type="dxa"/>
              <w:bottom w:w="110" w:type="dxa"/>
              <w:end w:w="110" w:type="dxa"/>
            </w:tcMar>
            <w:vAlign w:val="top"/>
          </w:tcPr>
          <w:p>
            <w:pPr>
              <w:pStyle w:val="BodyText"/>
              <w:spacing w:after="0"/>
            </w:pPr>
            <w:r>
              <w:rPr>
                <w:sz w:val="17"/>
              </w:rPr>
              <w:t>Technologies</w:t>
            </w:r>
          </w:p>
        </w:tc>
        <w:tc>
          <w:tcPr>
            <w:tcW w:type="dxa" w:w="4986"/>
            <w:tcMar>
              <w:top w:w="110" w:type="dxa"/>
              <w:start w:w="110" w:type="dxa"/>
              <w:bottom w:w="110" w:type="dxa"/>
              <w:end w:w="110" w:type="dxa"/>
            </w:tcMar>
            <w:vAlign w:val="top"/>
          </w:tcPr>
          <w:p>
            <w:pPr>
              <w:pStyle w:val="BodyText"/>
              <w:spacing w:after="0"/>
            </w:pPr>
            <w:r>
              <w:rPr>
                <w:sz w:val="17"/>
              </w:rPr>
              <w:t>ASR, RAG, LLM, TTS, animation faciale, moteur dramaturgique et application temps réel.</w:t>
            </w:r>
          </w:p>
        </w:tc>
      </w:tr>
      <w:tr>
        <w:tc>
          <w:tcPr>
            <w:tcW w:type="dxa" w:w="4986"/>
            <w:tcMar>
              <w:top w:w="110" w:type="dxa"/>
              <w:start w:w="110" w:type="dxa"/>
              <w:bottom w:w="110" w:type="dxa"/>
              <w:end w:w="110" w:type="dxa"/>
            </w:tcMar>
            <w:vAlign w:val="top"/>
          </w:tcPr>
          <w:p>
            <w:pPr>
              <w:pStyle w:val="BodyText"/>
              <w:spacing w:after="0"/>
            </w:pPr>
            <w:r>
              <w:rPr>
                <w:sz w:val="17"/>
              </w:rPr>
              <w:t>Positionnement</w:t>
            </w:r>
          </w:p>
        </w:tc>
        <w:tc>
          <w:tcPr>
            <w:tcW w:type="dxa" w:w="4986"/>
            <w:tcMar>
              <w:top w:w="110" w:type="dxa"/>
              <w:start w:w="110" w:type="dxa"/>
              <w:bottom w:w="110" w:type="dxa"/>
              <w:end w:w="110" w:type="dxa"/>
            </w:tcMar>
            <w:vAlign w:val="top"/>
          </w:tcPr>
          <w:p>
            <w:pPr>
              <w:pStyle w:val="BodyText"/>
              <w:spacing w:after="0"/>
            </w:pPr>
            <w:r>
              <w:rPr>
                <w:sz w:val="17"/>
              </w:rPr>
              <w:t>Installation artistique critique et participative ; pas un chatbot historique générique.</w:t>
            </w:r>
          </w:p>
        </w:tc>
      </w:tr>
    </w:tbl>
    <w:p/>
    <w:p>
      <w:pPr>
        <w:pStyle w:val="Heading1"/>
        <w:keepNext/>
        <w:pBdr>
          <w:bottom w:val="single" w:sz="10" w:space="1" w:color="8C3B3B"/>
        </w:pBdr>
        <w:spacing w:before="180" w:after="100"/>
      </w:pPr>
      <w:r>
        <w:t>2. Note d’intention</w:t>
      </w:r>
    </w:p>
    <w:p>
      <w:pPr>
        <w:pStyle w:val="BodyText"/>
      </w:pPr>
      <w:r>
        <w:t>Léopold II appartient à ces figures historiques dont l’image demeure présente dans l’espace public tout en concentrant des tensions mémorielles profondes. Plutôt que d’ajouter un commentaire supplémentaire à son portrait, Léopold 2.0 lui redonne artificiellement la parole afin d’exposer la manière dont un pouvoir construit sa propre défense.</w:t>
      </w:r>
    </w:p>
    <w:p>
      <w:pPr>
        <w:pStyle w:val="BodyText"/>
      </w:pPr>
      <w:r>
        <w:t>L’ambition n’est pas de simuler une vérité psychologique inaccessible ni de faire croire que l’intelligence artificielle ressuscite un personnage historique. Le visiteur rencontre une construction dramaturgique documentée : un personnage capable de mobiliser des arguments plausibles, sélectionner ce qui l’arrange, déplacer le cadre moral, rationaliser et tenter de conserver le contrôle du récit.</w:t>
      </w:r>
    </w:p>
    <w:p>
      <w:pPr>
        <w:pStyle w:val="BodyText"/>
      </w:pPr>
      <w:r>
        <w:t>L’interaction transforme le spectateur en acteur. Il peut interroger, contredire, insister, changer d’angle ou simplement observer la manière dont le personnage évite une question. Chaque échange devient une expérience de lecture critique : non seulement « que répond Léopold II ? », mais « comment répond un pouvoir lorsqu’il est confronté à ce qu’il refuse de reconnaître ? ».</w:t>
      </w:r>
    </w:p>
    <w:p>
      <w:pPr>
        <w:pStyle w:val="BodyText"/>
      </w:pPr>
      <w:r>
        <w:t>Le projet utilise ainsi l’intelligence artificielle comme médium dramaturgique plutôt que comme spectacle technologique. L’archive cesse d’être seulement consultée : elle devient une force capable de contraindre le discours du personnage et d’en révéler les limites.</w:t>
      </w:r>
    </w:p>
    <w:p>
      <w:pPr>
        <w:pStyle w:val="BodyText"/>
      </w:pPr>
      <w:r>
        <w:t>L’œuvre ouvre un espace entre art, mémoire, technologie et responsabilité historique. Elle interroge à la fois le passé colonial belge et notre manière contemporaine d’automatiser des récits à l’aide de systèmes d’intelligence artificielle.</w:t>
      </w:r>
    </w:p>
    <w:p>
      <w:pPr>
        <w:pStyle w:val="Heading1"/>
        <w:keepNext/>
        <w:pBdr>
          <w:bottom w:val="single" w:sz="10" w:space="1" w:color="8C3B3B"/>
        </w:pBdr>
        <w:spacing w:before="180" w:after="100"/>
      </w:pPr>
      <w:r>
        <w:t>3. Questions artistiques</w:t>
      </w:r>
    </w:p>
    <w:p>
      <w:pPr>
        <w:pStyle w:val="ListBullet"/>
      </w:pPr>
      <w:r>
        <w:t>Comment une figure de pouvoir justifie-t-elle l’injustifiable lorsqu’elle contrôle encore le cadre du récit ?</w:t>
      </w:r>
    </w:p>
    <w:p>
      <w:pPr>
        <w:pStyle w:val="ListBullet"/>
      </w:pPr>
      <w:r>
        <w:t>Que se passe-t-il lorsque le visiteur peut interrompre, contredire et pousser cette figure hors de ses réponses préparées ?</w:t>
      </w:r>
    </w:p>
    <w:p>
      <w:pPr>
        <w:pStyle w:val="ListBullet"/>
      </w:pPr>
      <w:r>
        <w:t>Comment rendre visibles les stratégies de déni, de déplacement de responsabilité, de rationalisation et de contextualisation ?</w:t>
      </w:r>
    </w:p>
    <w:p>
      <w:pPr>
        <w:pStyle w:val="ListBullet"/>
      </w:pPr>
      <w:r>
        <w:t>Peut-on faire d’un modèle de langage un espace de friction critique plutôt qu’une machine à produire une réponse fluide et autoritaire ?</w:t>
      </w:r>
    </w:p>
    <w:p>
      <w:pPr>
        <w:pStyle w:val="ListBullet"/>
      </w:pPr>
      <w:r>
        <w:t>Comment l’archive peut-elle devenir un contre-pouvoir dramaturgique ?</w:t>
      </w:r>
    </w:p>
    <w:p>
      <w:pPr>
        <w:pStyle w:val="ListBullet"/>
      </w:pPr>
      <w:r>
        <w:t>Que signifie aujourd’hui fabriquer artificiellement la voix d’un personnage historique toujours présent dans l’espace public ?</w:t>
      </w:r>
    </w:p>
    <w:p>
      <w:pPr>
        <w:pStyle w:val="Heading1"/>
        <w:keepNext/>
        <w:pBdr>
          <w:bottom w:val="single" w:sz="10" w:space="1" w:color="8C3B3B"/>
        </w:pBdr>
        <w:spacing w:before="180" w:after="100"/>
      </w:pPr>
      <w:r>
        <w:t>4. Positionnement de l’œuvre</w:t>
      </w:r>
    </w:p>
    <w:tbl>
      <w:tblPr>
        <w:tblStyle w:val="TableGrid"/>
        <w:tblW w:type="auto" w:w="0"/>
        <w:jc w:val="center"/>
        <w:tblLook w:firstColumn="1" w:firstRow="1" w:lastColumn="0" w:lastRow="0" w:noHBand="0" w:noVBand="1" w:val="04A0"/>
      </w:tblPr>
      <w:tblGrid>
        <w:gridCol w:w="4986"/>
        <w:gridCol w:w="4986"/>
      </w:tblGrid>
      <w:tr>
        <w:tc>
          <w:tcPr>
            <w:tcW w:type="dxa" w:w="4986"/>
            <w:shd w:fill="2B2B2B"/>
            <w:tcMar>
              <w:top w:w="110" w:type="dxa"/>
              <w:start w:w="110" w:type="dxa"/>
              <w:bottom w:w="110" w:type="dxa"/>
              <w:end w:w="110" w:type="dxa"/>
            </w:tcMar>
          </w:tcPr>
          <w:p>
            <w:r>
              <w:rPr>
                <w:b/>
                <w:color w:val="FFFFFF"/>
                <w:sz w:val="17"/>
              </w:rPr>
              <w:t>L’œuvre est</w:t>
            </w:r>
          </w:p>
        </w:tc>
        <w:tc>
          <w:tcPr>
            <w:tcW w:type="dxa" w:w="4986"/>
            <w:shd w:fill="2B2B2B"/>
            <w:tcMar>
              <w:top w:w="110" w:type="dxa"/>
              <w:start w:w="110" w:type="dxa"/>
              <w:bottom w:w="110" w:type="dxa"/>
              <w:end w:w="110" w:type="dxa"/>
            </w:tcMar>
          </w:tcPr>
          <w:p>
            <w:r>
              <w:rPr>
                <w:b/>
                <w:color w:val="FFFFFF"/>
                <w:sz w:val="17"/>
              </w:rPr>
              <w:t>L’œuvre n’est pas</w:t>
            </w:r>
          </w:p>
        </w:tc>
      </w:tr>
      <w:tr>
        <w:tc>
          <w:tcPr>
            <w:tcW w:type="dxa" w:w="4986"/>
            <w:tcMar>
              <w:top w:w="110" w:type="dxa"/>
              <w:start w:w="110" w:type="dxa"/>
              <w:bottom w:w="110" w:type="dxa"/>
              <w:end w:w="110" w:type="dxa"/>
            </w:tcMar>
            <w:vAlign w:val="top"/>
          </w:tcPr>
          <w:p>
            <w:pPr>
              <w:pStyle w:val="BodyText"/>
              <w:spacing w:after="0"/>
            </w:pPr>
            <w:r>
              <w:rPr>
                <w:sz w:val="17"/>
              </w:rPr>
              <w:t>Un portrait conversationnel critique.</w:t>
            </w:r>
          </w:p>
        </w:tc>
        <w:tc>
          <w:tcPr>
            <w:tcW w:type="dxa" w:w="4986"/>
            <w:tcMar>
              <w:top w:w="110" w:type="dxa"/>
              <w:start w:w="110" w:type="dxa"/>
              <w:bottom w:w="110" w:type="dxa"/>
              <w:end w:w="110" w:type="dxa"/>
            </w:tcMar>
            <w:vAlign w:val="top"/>
          </w:tcPr>
          <w:p>
            <w:pPr>
              <w:pStyle w:val="BodyText"/>
              <w:spacing w:after="0"/>
            </w:pPr>
            <w:r>
              <w:rPr>
                <w:sz w:val="17"/>
              </w:rPr>
              <w:t>Une résurrection numérique prétendant restituer la « vraie » personnalité de Léopold II.</w:t>
            </w:r>
          </w:p>
        </w:tc>
      </w:tr>
      <w:tr>
        <w:tc>
          <w:tcPr>
            <w:tcW w:type="dxa" w:w="4986"/>
            <w:tcMar>
              <w:top w:w="110" w:type="dxa"/>
              <w:start w:w="110" w:type="dxa"/>
              <w:bottom w:w="110" w:type="dxa"/>
              <w:end w:w="110" w:type="dxa"/>
            </w:tcMar>
            <w:vAlign w:val="top"/>
          </w:tcPr>
          <w:p>
            <w:pPr>
              <w:pStyle w:val="BodyText"/>
              <w:spacing w:after="0"/>
            </w:pPr>
            <w:r>
              <w:rPr>
                <w:sz w:val="17"/>
              </w:rPr>
              <w:t>Une construction documentée du pouvoir mise à l’épreuve du public.</w:t>
            </w:r>
          </w:p>
        </w:tc>
        <w:tc>
          <w:tcPr>
            <w:tcW w:type="dxa" w:w="4986"/>
            <w:tcMar>
              <w:top w:w="110" w:type="dxa"/>
              <w:start w:w="110" w:type="dxa"/>
              <w:bottom w:w="110" w:type="dxa"/>
              <w:end w:w="110" w:type="dxa"/>
            </w:tcMar>
            <w:vAlign w:val="top"/>
          </w:tcPr>
          <w:p>
            <w:pPr>
              <w:pStyle w:val="BodyText"/>
              <w:spacing w:after="0"/>
            </w:pPr>
            <w:r>
              <w:rPr>
                <w:sz w:val="17"/>
              </w:rPr>
              <w:t>Un chatbot pédagogique neutre ou encyclopédique.</w:t>
            </w:r>
          </w:p>
        </w:tc>
      </w:tr>
      <w:tr>
        <w:tc>
          <w:tcPr>
            <w:tcW w:type="dxa" w:w="4986"/>
            <w:tcMar>
              <w:top w:w="110" w:type="dxa"/>
              <w:start w:w="110" w:type="dxa"/>
              <w:bottom w:w="110" w:type="dxa"/>
              <w:end w:w="110" w:type="dxa"/>
            </w:tcMar>
            <w:vAlign w:val="top"/>
          </w:tcPr>
          <w:p>
            <w:pPr>
              <w:pStyle w:val="BodyText"/>
              <w:spacing w:after="0"/>
            </w:pPr>
            <w:r>
              <w:rPr>
                <w:sz w:val="17"/>
              </w:rPr>
              <w:t>Une dramaturgie variable pilotée par la conversation.</w:t>
            </w:r>
          </w:p>
        </w:tc>
        <w:tc>
          <w:tcPr>
            <w:tcW w:type="dxa" w:w="4986"/>
            <w:tcMar>
              <w:top w:w="110" w:type="dxa"/>
              <w:start w:w="110" w:type="dxa"/>
              <w:bottom w:w="110" w:type="dxa"/>
              <w:end w:w="110" w:type="dxa"/>
            </w:tcMar>
            <w:vAlign w:val="top"/>
          </w:tcPr>
          <w:p>
            <w:pPr>
              <w:pStyle w:val="BodyText"/>
              <w:spacing w:after="0"/>
            </w:pPr>
            <w:r>
              <w:rPr>
                <w:sz w:val="17"/>
              </w:rPr>
              <w:t>Un dialogue improvisé sans cadre ni contrôle.</w:t>
            </w:r>
          </w:p>
        </w:tc>
      </w:tr>
      <w:tr>
        <w:tc>
          <w:tcPr>
            <w:tcW w:type="dxa" w:w="4986"/>
            <w:tcMar>
              <w:top w:w="110" w:type="dxa"/>
              <w:start w:w="110" w:type="dxa"/>
              <w:bottom w:w="110" w:type="dxa"/>
              <w:end w:w="110" w:type="dxa"/>
            </w:tcMar>
            <w:vAlign w:val="top"/>
          </w:tcPr>
          <w:p>
            <w:pPr>
              <w:pStyle w:val="BodyText"/>
              <w:spacing w:after="0"/>
            </w:pPr>
            <w:r>
              <w:rPr>
                <w:sz w:val="17"/>
              </w:rPr>
              <w:t>Une archive augmentée capable de contraindre le récit.</w:t>
            </w:r>
          </w:p>
        </w:tc>
        <w:tc>
          <w:tcPr>
            <w:tcW w:type="dxa" w:w="4986"/>
            <w:tcMar>
              <w:top w:w="110" w:type="dxa"/>
              <w:start w:w="110" w:type="dxa"/>
              <w:bottom w:w="110" w:type="dxa"/>
              <w:end w:w="110" w:type="dxa"/>
            </w:tcMar>
            <w:vAlign w:val="top"/>
          </w:tcPr>
          <w:p>
            <w:pPr>
              <w:pStyle w:val="BodyText"/>
              <w:spacing w:after="0"/>
            </w:pPr>
            <w:r>
              <w:rPr>
                <w:sz w:val="17"/>
              </w:rPr>
              <w:t>Une collection d’anecdotes historiques.</w:t>
            </w:r>
          </w:p>
        </w:tc>
      </w:tr>
      <w:tr>
        <w:tc>
          <w:tcPr>
            <w:tcW w:type="dxa" w:w="4986"/>
            <w:tcMar>
              <w:top w:w="110" w:type="dxa"/>
              <w:start w:w="110" w:type="dxa"/>
              <w:bottom w:w="110" w:type="dxa"/>
              <w:end w:w="110" w:type="dxa"/>
            </w:tcMar>
            <w:vAlign w:val="top"/>
          </w:tcPr>
          <w:p>
            <w:pPr>
              <w:pStyle w:val="BodyText"/>
              <w:spacing w:after="0"/>
            </w:pPr>
            <w:r>
              <w:rPr>
                <w:sz w:val="17"/>
              </w:rPr>
              <w:t>Un dispositif sur la mécanique de justification.</w:t>
            </w:r>
          </w:p>
        </w:tc>
        <w:tc>
          <w:tcPr>
            <w:tcW w:type="dxa" w:w="4986"/>
            <w:tcMar>
              <w:top w:w="110" w:type="dxa"/>
              <w:start w:w="110" w:type="dxa"/>
              <w:bottom w:w="110" w:type="dxa"/>
              <w:end w:w="110" w:type="dxa"/>
            </w:tcMar>
            <w:vAlign w:val="top"/>
          </w:tcPr>
          <w:p>
            <w:pPr>
              <w:pStyle w:val="BodyText"/>
              <w:spacing w:after="0"/>
            </w:pPr>
            <w:r>
              <w:rPr>
                <w:sz w:val="17"/>
              </w:rPr>
              <w:t>Une reconstitution apologétique ou une attraction spectaculaire.</w:t>
            </w:r>
          </w:p>
        </w:tc>
      </w:tr>
    </w:tbl>
    <w:p/>
    <w:p>
      <w:pPr>
        <w:pStyle w:val="Heading1"/>
        <w:keepNext/>
        <w:pBdr>
          <w:bottom w:val="single" w:sz="10" w:space="1" w:color="8C3B3B"/>
        </w:pBdr>
        <w:spacing w:before="180" w:after="100"/>
      </w:pPr>
      <w:r>
        <w:t>5. Expérience visiteur</w:t>
      </w:r>
    </w:p>
    <w:tbl>
      <w:tblPr>
        <w:tblW w:type="auto" w:w="0"/>
        <w:jc w:val="center"/>
        <w:tblLook w:firstColumn="1" w:firstRow="1" w:lastColumn="0" w:lastRow="0" w:noHBand="0" w:noVBand="1" w:val="04A0"/>
      </w:tblPr>
      <w:tblGrid>
        <w:gridCol w:w="9972"/>
      </w:tblGrid>
      <w:tr>
        <w:tc>
          <w:tcPr>
            <w:tcW w:type="dxa" w:w="9972"/>
            <w:shd w:fill="F3EFEA"/>
            <w:tcMar>
              <w:top w:w="160" w:type="dxa"/>
              <w:start w:w="160" w:type="dxa"/>
              <w:bottom w:w="160" w:type="dxa"/>
              <w:end w:w="160" w:type="dxa"/>
            </w:tcMar>
          </w:tcPr>
          <w:p>
            <w:r>
              <w:rPr>
                <w:b/>
                <w:color w:val="7B2626"/>
                <w:sz w:val="17"/>
              </w:rPr>
              <w:t>DÉVELOPPEMENT PROPOSÉ</w:t>
            </w:r>
          </w:p>
          <w:p>
            <w:pPr>
              <w:pStyle w:val="BodyText"/>
            </w:pPr>
            <w:r>
              <w:t>La source définit le dialogue oral ou textuel et la forme du portrait encadré. Le parcours ci-dessous formalise cette expérience en séquence d’exposition.</w:t>
            </w:r>
          </w:p>
        </w:tc>
      </w:tr>
    </w:tbl>
    <w:p/>
    <w:tbl>
      <w:tblPr>
        <w:tblStyle w:val="TableGrid"/>
        <w:tblW w:type="auto" w:w="0"/>
        <w:jc w:val="center"/>
        <w:tblLook w:firstColumn="1" w:firstRow="1" w:lastColumn="0" w:lastRow="0" w:noHBand="0" w:noVBand="1" w:val="04A0"/>
      </w:tblPr>
      <w:tblGrid>
        <w:gridCol w:w="4986"/>
        <w:gridCol w:w="4986"/>
      </w:tblGrid>
      <w:tr>
        <w:tc>
          <w:tcPr>
            <w:tcW w:type="dxa" w:w="4986"/>
            <w:shd w:fill="2B2B2B"/>
            <w:tcMar>
              <w:top w:w="110" w:type="dxa"/>
              <w:start w:w="110" w:type="dxa"/>
              <w:bottom w:w="110" w:type="dxa"/>
              <w:end w:w="110" w:type="dxa"/>
            </w:tcMar>
          </w:tcPr>
          <w:p>
            <w:r>
              <w:rPr>
                <w:b/>
                <w:color w:val="FFFFFF"/>
                <w:sz w:val="17"/>
              </w:rPr>
              <w:t>Phase</w:t>
            </w:r>
          </w:p>
        </w:tc>
        <w:tc>
          <w:tcPr>
            <w:tcW w:type="dxa" w:w="4986"/>
            <w:shd w:fill="2B2B2B"/>
            <w:tcMar>
              <w:top w:w="110" w:type="dxa"/>
              <w:start w:w="110" w:type="dxa"/>
              <w:bottom w:w="110" w:type="dxa"/>
              <w:end w:w="110" w:type="dxa"/>
            </w:tcMar>
          </w:tcPr>
          <w:p>
            <w:r>
              <w:rPr>
                <w:b/>
                <w:color w:val="FFFFFF"/>
                <w:sz w:val="17"/>
              </w:rPr>
              <w:t>Expérience</w:t>
            </w:r>
          </w:p>
        </w:tc>
      </w:tr>
      <w:tr>
        <w:tc>
          <w:tcPr>
            <w:tcW w:type="dxa" w:w="4986"/>
            <w:tcMar>
              <w:top w:w="110" w:type="dxa"/>
              <w:start w:w="110" w:type="dxa"/>
              <w:bottom w:w="110" w:type="dxa"/>
              <w:end w:w="110" w:type="dxa"/>
            </w:tcMar>
            <w:vAlign w:val="top"/>
          </w:tcPr>
          <w:p>
            <w:pPr>
              <w:pStyle w:val="BodyText"/>
              <w:spacing w:after="0"/>
            </w:pPr>
            <w:r>
              <w:rPr>
                <w:sz w:val="17"/>
              </w:rPr>
              <w:t>1 — Présence</w:t>
            </w:r>
          </w:p>
        </w:tc>
        <w:tc>
          <w:tcPr>
            <w:tcW w:type="dxa" w:w="4986"/>
            <w:tcMar>
              <w:top w:w="110" w:type="dxa"/>
              <w:start w:w="110" w:type="dxa"/>
              <w:bottom w:w="110" w:type="dxa"/>
              <w:end w:w="110" w:type="dxa"/>
            </w:tcMar>
            <w:vAlign w:val="top"/>
          </w:tcPr>
          <w:p>
            <w:pPr>
              <w:pStyle w:val="BodyText"/>
              <w:spacing w:after="0"/>
            </w:pPr>
            <w:r>
              <w:rPr>
                <w:sz w:val="17"/>
              </w:rPr>
              <w:t>À distance, le portrait paraît presque fixe. Seuls quelques micro-mouvements signalent une présence.</w:t>
            </w:r>
          </w:p>
        </w:tc>
      </w:tr>
      <w:tr>
        <w:tc>
          <w:tcPr>
            <w:tcW w:type="dxa" w:w="4986"/>
            <w:tcMar>
              <w:top w:w="110" w:type="dxa"/>
              <w:start w:w="110" w:type="dxa"/>
              <w:bottom w:w="110" w:type="dxa"/>
              <w:end w:w="110" w:type="dxa"/>
            </w:tcMar>
            <w:vAlign w:val="top"/>
          </w:tcPr>
          <w:p>
            <w:pPr>
              <w:pStyle w:val="BodyText"/>
              <w:spacing w:after="0"/>
            </w:pPr>
            <w:r>
              <w:rPr>
                <w:sz w:val="17"/>
              </w:rPr>
              <w:t>2 — Détection</w:t>
            </w:r>
          </w:p>
        </w:tc>
        <w:tc>
          <w:tcPr>
            <w:tcW w:type="dxa" w:w="4986"/>
            <w:tcMar>
              <w:top w:w="110" w:type="dxa"/>
              <w:start w:w="110" w:type="dxa"/>
              <w:bottom w:w="110" w:type="dxa"/>
              <w:end w:w="110" w:type="dxa"/>
            </w:tcMar>
            <w:vAlign w:val="top"/>
          </w:tcPr>
          <w:p>
            <w:pPr>
              <w:pStyle w:val="BodyText"/>
              <w:spacing w:after="0"/>
            </w:pPr>
            <w:r>
              <w:rPr>
                <w:sz w:val="17"/>
              </w:rPr>
              <w:t>La présence du visiteur active le regard ; le personnage semble prendre conscience de quelqu’un devant lui.</w:t>
            </w:r>
          </w:p>
        </w:tc>
      </w:tr>
      <w:tr>
        <w:tc>
          <w:tcPr>
            <w:tcW w:type="dxa" w:w="4986"/>
            <w:tcMar>
              <w:top w:w="110" w:type="dxa"/>
              <w:start w:w="110" w:type="dxa"/>
              <w:bottom w:w="110" w:type="dxa"/>
              <w:end w:w="110" w:type="dxa"/>
            </w:tcMar>
            <w:vAlign w:val="top"/>
          </w:tcPr>
          <w:p>
            <w:pPr>
              <w:pStyle w:val="BodyText"/>
              <w:spacing w:after="0"/>
            </w:pPr>
            <w:r>
              <w:rPr>
                <w:sz w:val="17"/>
              </w:rPr>
              <w:t>3 — Invitation</w:t>
            </w:r>
          </w:p>
        </w:tc>
        <w:tc>
          <w:tcPr>
            <w:tcW w:type="dxa" w:w="4986"/>
            <w:tcMar>
              <w:top w:w="110" w:type="dxa"/>
              <w:start w:w="110" w:type="dxa"/>
              <w:bottom w:w="110" w:type="dxa"/>
              <w:end w:w="110" w:type="dxa"/>
            </w:tcMar>
            <w:vAlign w:val="top"/>
          </w:tcPr>
          <w:p>
            <w:pPr>
              <w:pStyle w:val="BodyText"/>
              <w:spacing w:after="0"/>
            </w:pPr>
            <w:r>
              <w:rPr>
                <w:sz w:val="17"/>
              </w:rPr>
              <w:t>Une indication minimale invite à poser une question, sans tutoriel lourd.</w:t>
            </w:r>
          </w:p>
        </w:tc>
      </w:tr>
      <w:tr>
        <w:tc>
          <w:tcPr>
            <w:tcW w:type="dxa" w:w="4986"/>
            <w:tcMar>
              <w:top w:w="110" w:type="dxa"/>
              <w:start w:w="110" w:type="dxa"/>
              <w:bottom w:w="110" w:type="dxa"/>
              <w:end w:w="110" w:type="dxa"/>
            </w:tcMar>
            <w:vAlign w:val="top"/>
          </w:tcPr>
          <w:p>
            <w:pPr>
              <w:pStyle w:val="BodyText"/>
              <w:spacing w:after="0"/>
            </w:pPr>
            <w:r>
              <w:rPr>
                <w:sz w:val="17"/>
              </w:rPr>
              <w:t>4 — Conversation</w:t>
            </w:r>
          </w:p>
        </w:tc>
        <w:tc>
          <w:tcPr>
            <w:tcW w:type="dxa" w:w="4986"/>
            <w:tcMar>
              <w:top w:w="110" w:type="dxa"/>
              <w:start w:w="110" w:type="dxa"/>
              <w:bottom w:w="110" w:type="dxa"/>
              <w:end w:w="110" w:type="dxa"/>
            </w:tcMar>
            <w:vAlign w:val="top"/>
          </w:tcPr>
          <w:p>
            <w:pPr>
              <w:pStyle w:val="BodyText"/>
              <w:spacing w:after="0"/>
            </w:pPr>
            <w:r>
              <w:rPr>
                <w:sz w:val="17"/>
              </w:rPr>
              <w:t>La parole du visiteur est transcrite puis traitée par le moteur documentaire et dramaturgique.</w:t>
            </w:r>
          </w:p>
        </w:tc>
      </w:tr>
      <w:tr>
        <w:tc>
          <w:tcPr>
            <w:tcW w:type="dxa" w:w="4986"/>
            <w:tcMar>
              <w:top w:w="110" w:type="dxa"/>
              <w:start w:w="110" w:type="dxa"/>
              <w:bottom w:w="110" w:type="dxa"/>
              <w:end w:w="110" w:type="dxa"/>
            </w:tcMar>
            <w:vAlign w:val="top"/>
          </w:tcPr>
          <w:p>
            <w:pPr>
              <w:pStyle w:val="BodyText"/>
              <w:spacing w:after="0"/>
            </w:pPr>
            <w:r>
              <w:rPr>
                <w:sz w:val="17"/>
              </w:rPr>
              <w:t>5 — Réponse</w:t>
            </w:r>
          </w:p>
        </w:tc>
        <w:tc>
          <w:tcPr>
            <w:tcW w:type="dxa" w:w="4986"/>
            <w:tcMar>
              <w:top w:w="110" w:type="dxa"/>
              <w:start w:w="110" w:type="dxa"/>
              <w:bottom w:w="110" w:type="dxa"/>
              <w:end w:w="110" w:type="dxa"/>
            </w:tcMar>
            <w:vAlign w:val="top"/>
          </w:tcPr>
          <w:p>
            <w:pPr>
              <w:pStyle w:val="BodyText"/>
              <w:spacing w:after="0"/>
            </w:pPr>
            <w:r>
              <w:rPr>
                <w:sz w:val="17"/>
              </w:rPr>
              <w:t>Le portrait répond oralement ; regard, rythme, posture et expressions suivent son état interne.</w:t>
            </w:r>
          </w:p>
        </w:tc>
      </w:tr>
      <w:tr>
        <w:tc>
          <w:tcPr>
            <w:tcW w:type="dxa" w:w="4986"/>
            <w:tcMar>
              <w:top w:w="110" w:type="dxa"/>
              <w:start w:w="110" w:type="dxa"/>
              <w:bottom w:w="110" w:type="dxa"/>
              <w:end w:w="110" w:type="dxa"/>
            </w:tcMar>
            <w:vAlign w:val="top"/>
          </w:tcPr>
          <w:p>
            <w:pPr>
              <w:pStyle w:val="BodyText"/>
              <w:spacing w:after="0"/>
            </w:pPr>
            <w:r>
              <w:rPr>
                <w:sz w:val="17"/>
              </w:rPr>
              <w:t>6 — Confrontation</w:t>
            </w:r>
          </w:p>
        </w:tc>
        <w:tc>
          <w:tcPr>
            <w:tcW w:type="dxa" w:w="4986"/>
            <w:tcMar>
              <w:top w:w="110" w:type="dxa"/>
              <w:start w:w="110" w:type="dxa"/>
              <w:bottom w:w="110" w:type="dxa"/>
              <w:end w:w="110" w:type="dxa"/>
            </w:tcMar>
            <w:vAlign w:val="top"/>
          </w:tcPr>
          <w:p>
            <w:pPr>
              <w:pStyle w:val="BodyText"/>
              <w:spacing w:after="0"/>
            </w:pPr>
            <w:r>
              <w:rPr>
                <w:sz w:val="17"/>
              </w:rPr>
              <w:t>Les contradictions documentées augmentent progressivement la pression dramaturgique.</w:t>
            </w:r>
          </w:p>
        </w:tc>
      </w:tr>
      <w:tr>
        <w:tc>
          <w:tcPr>
            <w:tcW w:type="dxa" w:w="4986"/>
            <w:tcMar>
              <w:top w:w="110" w:type="dxa"/>
              <w:start w:w="110" w:type="dxa"/>
              <w:bottom w:w="110" w:type="dxa"/>
              <w:end w:w="110" w:type="dxa"/>
            </w:tcMar>
            <w:vAlign w:val="top"/>
          </w:tcPr>
          <w:p>
            <w:pPr>
              <w:pStyle w:val="BodyText"/>
              <w:spacing w:after="0"/>
            </w:pPr>
            <w:r>
              <w:rPr>
                <w:sz w:val="17"/>
              </w:rPr>
              <w:t>7 — Fissure</w:t>
            </w:r>
          </w:p>
        </w:tc>
        <w:tc>
          <w:tcPr>
            <w:tcW w:type="dxa" w:w="4986"/>
            <w:tcMar>
              <w:top w:w="110" w:type="dxa"/>
              <w:start w:w="110" w:type="dxa"/>
              <w:bottom w:w="110" w:type="dxa"/>
              <w:end w:w="110" w:type="dxa"/>
            </w:tcMar>
            <w:vAlign w:val="top"/>
          </w:tcPr>
          <w:p>
            <w:pPr>
              <w:pStyle w:val="BodyText"/>
              <w:spacing w:after="0"/>
            </w:pPr>
            <w:r>
              <w:rPr>
                <w:sz w:val="17"/>
              </w:rPr>
              <w:t>Hésitations, irritation contrôlée, silences, reformulations et perte progressive de maîtrise deviennent perceptibles.</w:t>
            </w:r>
          </w:p>
        </w:tc>
      </w:tr>
      <w:tr>
        <w:tc>
          <w:tcPr>
            <w:tcW w:type="dxa" w:w="4986"/>
            <w:tcMar>
              <w:top w:w="110" w:type="dxa"/>
              <w:start w:w="110" w:type="dxa"/>
              <w:bottom w:w="110" w:type="dxa"/>
              <w:end w:w="110" w:type="dxa"/>
            </w:tcMar>
            <w:vAlign w:val="top"/>
          </w:tcPr>
          <w:p>
            <w:pPr>
              <w:pStyle w:val="BodyText"/>
              <w:spacing w:after="0"/>
            </w:pPr>
            <w:r>
              <w:rPr>
                <w:sz w:val="17"/>
              </w:rPr>
              <w:t>8 — Trace</w:t>
            </w:r>
          </w:p>
        </w:tc>
        <w:tc>
          <w:tcPr>
            <w:tcW w:type="dxa" w:w="4986"/>
            <w:tcMar>
              <w:top w:w="110" w:type="dxa"/>
              <w:start w:w="110" w:type="dxa"/>
              <w:bottom w:w="110" w:type="dxa"/>
              <w:end w:w="110" w:type="dxa"/>
            </w:tcMar>
            <w:vAlign w:val="top"/>
          </w:tcPr>
          <w:p>
            <w:pPr>
              <w:pStyle w:val="BodyText"/>
              <w:spacing w:after="0"/>
            </w:pPr>
            <w:r>
              <w:rPr>
                <w:sz w:val="17"/>
              </w:rPr>
              <w:t>À la fin de l’échange, le dispositif revient au portrait ; un cartel rappelle qu’il s’agit d’une reconstruction IA documentée.</w:t>
            </w:r>
          </w:p>
        </w:tc>
      </w:tr>
    </w:tbl>
    <w:p/>
    <w:p>
      <w:pPr>
        <w:pStyle w:val="Heading1"/>
        <w:keepNext/>
        <w:pBdr>
          <w:bottom w:val="single" w:sz="10" w:space="1" w:color="8C3B3B"/>
        </w:pBdr>
        <w:spacing w:before="180" w:after="100"/>
      </w:pPr>
      <w:r>
        <w:t>6. Dramaturgie conversationnelle</w:t>
      </w:r>
    </w:p>
    <w:p>
      <w:pPr>
        <w:pStyle w:val="BodyText"/>
      </w:pPr>
      <w:r>
        <w:rPr>
          <w:b/>
        </w:rPr>
        <w:t xml:space="preserve">Principe : </w:t>
      </w:r>
      <w:r>
        <w:t>la conversation ne suit pas un scénario fixe, mais une trajectoire d’états. Le système préserve la cohérence du personnage tout en permettant au public de déplacer réellement l’échange.</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fill="2B2B2B"/>
            <w:tcMar>
              <w:top w:w="110" w:type="dxa"/>
              <w:start w:w="110" w:type="dxa"/>
              <w:bottom w:w="110" w:type="dxa"/>
              <w:end w:w="110" w:type="dxa"/>
            </w:tcMar>
          </w:tcPr>
          <w:p>
            <w:r>
              <w:rPr>
                <w:b/>
                <w:color w:val="FFFFFF"/>
                <w:sz w:val="17"/>
              </w:rPr>
              <w:t>État</w:t>
            </w:r>
          </w:p>
        </w:tc>
        <w:tc>
          <w:tcPr>
            <w:tcW w:type="dxa" w:w="3324"/>
            <w:shd w:fill="2B2B2B"/>
            <w:tcMar>
              <w:top w:w="110" w:type="dxa"/>
              <w:start w:w="110" w:type="dxa"/>
              <w:bottom w:w="110" w:type="dxa"/>
              <w:end w:w="110" w:type="dxa"/>
            </w:tcMar>
          </w:tcPr>
          <w:p>
            <w:r>
              <w:rPr>
                <w:b/>
                <w:color w:val="FFFFFF"/>
                <w:sz w:val="17"/>
              </w:rPr>
              <w:t>Comportement</w:t>
            </w:r>
          </w:p>
        </w:tc>
        <w:tc>
          <w:tcPr>
            <w:tcW w:type="dxa" w:w="3324"/>
            <w:shd w:fill="2B2B2B"/>
            <w:tcMar>
              <w:top w:w="110" w:type="dxa"/>
              <w:start w:w="110" w:type="dxa"/>
              <w:bottom w:w="110" w:type="dxa"/>
              <w:end w:w="110" w:type="dxa"/>
            </w:tcMar>
          </w:tcPr>
          <w:p>
            <w:r>
              <w:rPr>
                <w:b/>
                <w:color w:val="FFFFFF"/>
                <w:sz w:val="17"/>
              </w:rPr>
              <w:t>Signaux visuels / sonores</w:t>
            </w:r>
          </w:p>
        </w:tc>
      </w:tr>
      <w:tr>
        <w:tc>
          <w:tcPr>
            <w:tcW w:type="dxa" w:w="3324"/>
            <w:tcMar>
              <w:top w:w="110" w:type="dxa"/>
              <w:start w:w="110" w:type="dxa"/>
              <w:bottom w:w="110" w:type="dxa"/>
              <w:end w:w="110" w:type="dxa"/>
            </w:tcMar>
            <w:vAlign w:val="top"/>
          </w:tcPr>
          <w:p>
            <w:pPr>
              <w:pStyle w:val="BodyText"/>
              <w:spacing w:after="0"/>
            </w:pPr>
            <w:r>
              <w:rPr>
                <w:sz w:val="17"/>
              </w:rPr>
              <w:t>A — Autorité</w:t>
            </w:r>
          </w:p>
        </w:tc>
        <w:tc>
          <w:tcPr>
            <w:tcW w:type="dxa" w:w="3324"/>
            <w:tcMar>
              <w:top w:w="110" w:type="dxa"/>
              <w:start w:w="110" w:type="dxa"/>
              <w:bottom w:w="110" w:type="dxa"/>
              <w:end w:w="110" w:type="dxa"/>
            </w:tcMar>
            <w:vAlign w:val="top"/>
          </w:tcPr>
          <w:p>
            <w:pPr>
              <w:pStyle w:val="BodyText"/>
              <w:spacing w:after="0"/>
            </w:pPr>
            <w:r>
              <w:rPr>
                <w:sz w:val="17"/>
              </w:rPr>
              <w:t>Réponses assurées, cadrage historique, langage institutionnel et posture souveraine.</w:t>
            </w:r>
          </w:p>
        </w:tc>
        <w:tc>
          <w:tcPr>
            <w:tcW w:type="dxa" w:w="3324"/>
            <w:tcMar>
              <w:top w:w="110" w:type="dxa"/>
              <w:start w:w="110" w:type="dxa"/>
              <w:bottom w:w="110" w:type="dxa"/>
              <w:end w:w="110" w:type="dxa"/>
            </w:tcMar>
            <w:vAlign w:val="top"/>
          </w:tcPr>
          <w:p>
            <w:pPr>
              <w:pStyle w:val="BodyText"/>
              <w:spacing w:after="0"/>
            </w:pPr>
            <w:r>
              <w:rPr>
                <w:sz w:val="17"/>
              </w:rPr>
              <w:t>Regard stable, rythme posé, animation minimale.</w:t>
            </w:r>
          </w:p>
        </w:tc>
      </w:tr>
      <w:tr>
        <w:tc>
          <w:tcPr>
            <w:tcW w:type="dxa" w:w="3324"/>
            <w:tcMar>
              <w:top w:w="110" w:type="dxa"/>
              <w:start w:w="110" w:type="dxa"/>
              <w:bottom w:w="110" w:type="dxa"/>
              <w:end w:w="110" w:type="dxa"/>
            </w:tcMar>
            <w:vAlign w:val="top"/>
          </w:tcPr>
          <w:p>
            <w:pPr>
              <w:pStyle w:val="BodyText"/>
              <w:spacing w:after="0"/>
            </w:pPr>
            <w:r>
              <w:rPr>
                <w:sz w:val="17"/>
              </w:rPr>
              <w:t>B — Défense</w:t>
            </w:r>
          </w:p>
        </w:tc>
        <w:tc>
          <w:tcPr>
            <w:tcW w:type="dxa" w:w="3324"/>
            <w:tcMar>
              <w:top w:w="110" w:type="dxa"/>
              <w:start w:w="110" w:type="dxa"/>
              <w:bottom w:w="110" w:type="dxa"/>
              <w:end w:w="110" w:type="dxa"/>
            </w:tcMar>
            <w:vAlign w:val="top"/>
          </w:tcPr>
          <w:p>
            <w:pPr>
              <w:pStyle w:val="BodyText"/>
              <w:spacing w:after="0"/>
            </w:pPr>
            <w:r>
              <w:rPr>
                <w:sz w:val="17"/>
              </w:rPr>
              <w:t>Déplacement de responsabilité, justification par le contexte, mise en avant des intentions ou des résultats.</w:t>
            </w:r>
          </w:p>
        </w:tc>
        <w:tc>
          <w:tcPr>
            <w:tcW w:type="dxa" w:w="3324"/>
            <w:tcMar>
              <w:top w:w="110" w:type="dxa"/>
              <w:start w:w="110" w:type="dxa"/>
              <w:bottom w:w="110" w:type="dxa"/>
              <w:end w:w="110" w:type="dxa"/>
            </w:tcMar>
            <w:vAlign w:val="top"/>
          </w:tcPr>
          <w:p>
            <w:pPr>
              <w:pStyle w:val="BodyText"/>
              <w:spacing w:after="0"/>
            </w:pPr>
            <w:r>
              <w:rPr>
                <w:sz w:val="17"/>
              </w:rPr>
              <w:t>Micro-tensions, pauses plus longues, regard moins frontal.</w:t>
            </w:r>
          </w:p>
        </w:tc>
      </w:tr>
      <w:tr>
        <w:tc>
          <w:tcPr>
            <w:tcW w:type="dxa" w:w="3324"/>
            <w:tcMar>
              <w:top w:w="110" w:type="dxa"/>
              <w:start w:w="110" w:type="dxa"/>
              <w:bottom w:w="110" w:type="dxa"/>
              <w:end w:w="110" w:type="dxa"/>
            </w:tcMar>
            <w:vAlign w:val="top"/>
          </w:tcPr>
          <w:p>
            <w:pPr>
              <w:pStyle w:val="BodyText"/>
              <w:spacing w:after="0"/>
            </w:pPr>
            <w:r>
              <w:rPr>
                <w:sz w:val="17"/>
              </w:rPr>
              <w:t>C — Contradiction</w:t>
            </w:r>
          </w:p>
        </w:tc>
        <w:tc>
          <w:tcPr>
            <w:tcW w:type="dxa" w:w="3324"/>
            <w:tcMar>
              <w:top w:w="110" w:type="dxa"/>
              <w:start w:w="110" w:type="dxa"/>
              <w:bottom w:w="110" w:type="dxa"/>
              <w:end w:w="110" w:type="dxa"/>
            </w:tcMar>
            <w:vAlign w:val="top"/>
          </w:tcPr>
          <w:p>
            <w:pPr>
              <w:pStyle w:val="BodyText"/>
              <w:spacing w:after="0"/>
            </w:pPr>
            <w:r>
              <w:rPr>
                <w:sz w:val="17"/>
              </w:rPr>
              <w:t>Conflit détecté entre défense produite et éléments documentaires mobilisés.</w:t>
            </w:r>
          </w:p>
        </w:tc>
        <w:tc>
          <w:tcPr>
            <w:tcW w:type="dxa" w:w="3324"/>
            <w:tcMar>
              <w:top w:w="110" w:type="dxa"/>
              <w:start w:w="110" w:type="dxa"/>
              <w:bottom w:w="110" w:type="dxa"/>
              <w:end w:w="110" w:type="dxa"/>
            </w:tcMar>
            <w:vAlign w:val="top"/>
          </w:tcPr>
          <w:p>
            <w:pPr>
              <w:pStyle w:val="BodyText"/>
              <w:spacing w:after="0"/>
            </w:pPr>
            <w:r>
              <w:rPr>
                <w:sz w:val="17"/>
              </w:rPr>
              <w:t>Hésitation, reprise de phrase, respiration ou silence.</w:t>
            </w:r>
          </w:p>
        </w:tc>
      </w:tr>
      <w:tr>
        <w:tc>
          <w:tcPr>
            <w:tcW w:type="dxa" w:w="3324"/>
            <w:tcMar>
              <w:top w:w="110" w:type="dxa"/>
              <w:start w:w="110" w:type="dxa"/>
              <w:bottom w:w="110" w:type="dxa"/>
              <w:end w:w="110" w:type="dxa"/>
            </w:tcMar>
            <w:vAlign w:val="top"/>
          </w:tcPr>
          <w:p>
            <w:pPr>
              <w:pStyle w:val="BodyText"/>
              <w:spacing w:after="0"/>
            </w:pPr>
            <w:r>
              <w:rPr>
                <w:sz w:val="17"/>
              </w:rPr>
              <w:t>D — Irritation</w:t>
            </w:r>
          </w:p>
        </w:tc>
        <w:tc>
          <w:tcPr>
            <w:tcW w:type="dxa" w:w="3324"/>
            <w:tcMar>
              <w:top w:w="110" w:type="dxa"/>
              <w:start w:w="110" w:type="dxa"/>
              <w:bottom w:w="110" w:type="dxa"/>
              <w:end w:w="110" w:type="dxa"/>
            </w:tcMar>
            <w:vAlign w:val="top"/>
          </w:tcPr>
          <w:p>
            <w:pPr>
              <w:pStyle w:val="BodyText"/>
              <w:spacing w:after="0"/>
            </w:pPr>
            <w:r>
              <w:rPr>
                <w:sz w:val="17"/>
              </w:rPr>
              <w:t>Tentative de reprendre le contrôle ou de contester le cadre de la question.</w:t>
            </w:r>
          </w:p>
        </w:tc>
        <w:tc>
          <w:tcPr>
            <w:tcW w:type="dxa" w:w="3324"/>
            <w:tcMar>
              <w:top w:w="110" w:type="dxa"/>
              <w:start w:w="110" w:type="dxa"/>
              <w:bottom w:w="110" w:type="dxa"/>
              <w:end w:w="110" w:type="dxa"/>
            </w:tcMar>
            <w:vAlign w:val="top"/>
          </w:tcPr>
          <w:p>
            <w:pPr>
              <w:pStyle w:val="BodyText"/>
              <w:spacing w:after="0"/>
            </w:pPr>
            <w:r>
              <w:rPr>
                <w:sz w:val="17"/>
              </w:rPr>
              <w:t>Expression plus dure, mouvements plus brusques mais contenus.</w:t>
            </w:r>
          </w:p>
        </w:tc>
      </w:tr>
      <w:tr>
        <w:tc>
          <w:tcPr>
            <w:tcW w:type="dxa" w:w="3324"/>
            <w:tcMar>
              <w:top w:w="110" w:type="dxa"/>
              <w:start w:w="110" w:type="dxa"/>
              <w:bottom w:w="110" w:type="dxa"/>
              <w:end w:w="110" w:type="dxa"/>
            </w:tcMar>
            <w:vAlign w:val="top"/>
          </w:tcPr>
          <w:p>
            <w:pPr>
              <w:pStyle w:val="BodyText"/>
              <w:spacing w:after="0"/>
            </w:pPr>
            <w:r>
              <w:rPr>
                <w:sz w:val="17"/>
              </w:rPr>
              <w:t>E — Fissure</w:t>
            </w:r>
          </w:p>
        </w:tc>
        <w:tc>
          <w:tcPr>
            <w:tcW w:type="dxa" w:w="3324"/>
            <w:tcMar>
              <w:top w:w="110" w:type="dxa"/>
              <w:start w:w="110" w:type="dxa"/>
              <w:bottom w:w="110" w:type="dxa"/>
              <w:end w:w="110" w:type="dxa"/>
            </w:tcMar>
            <w:vAlign w:val="top"/>
          </w:tcPr>
          <w:p>
            <w:pPr>
              <w:pStyle w:val="BodyText"/>
              <w:spacing w:after="0"/>
            </w:pPr>
            <w:r>
              <w:rPr>
                <w:sz w:val="17"/>
              </w:rPr>
              <w:t>Rationalisations moins stables ; motivations jusque-là masquées remontent dans le discours.</w:t>
            </w:r>
          </w:p>
        </w:tc>
        <w:tc>
          <w:tcPr>
            <w:tcW w:type="dxa" w:w="3324"/>
            <w:tcMar>
              <w:top w:w="110" w:type="dxa"/>
              <w:start w:w="110" w:type="dxa"/>
              <w:bottom w:w="110" w:type="dxa"/>
              <w:end w:w="110" w:type="dxa"/>
            </w:tcMar>
            <w:vAlign w:val="top"/>
          </w:tcPr>
          <w:p>
            <w:pPr>
              <w:pStyle w:val="BodyText"/>
              <w:spacing w:after="0"/>
            </w:pPr>
            <w:r>
              <w:rPr>
                <w:sz w:val="17"/>
              </w:rPr>
              <w:t>Regard fuyant, silences, légère instabilité de présence.</w:t>
            </w:r>
          </w:p>
        </w:tc>
      </w:tr>
      <w:tr>
        <w:tc>
          <w:tcPr>
            <w:tcW w:type="dxa" w:w="3324"/>
            <w:tcMar>
              <w:top w:w="110" w:type="dxa"/>
              <w:start w:w="110" w:type="dxa"/>
              <w:bottom w:w="110" w:type="dxa"/>
              <w:end w:w="110" w:type="dxa"/>
            </w:tcMar>
            <w:vAlign w:val="top"/>
          </w:tcPr>
          <w:p>
            <w:pPr>
              <w:pStyle w:val="BodyText"/>
              <w:spacing w:after="0"/>
            </w:pPr>
            <w:r>
              <w:rPr>
                <w:sz w:val="17"/>
              </w:rPr>
              <w:t>F — Rupture contrôlée</w:t>
            </w:r>
          </w:p>
        </w:tc>
        <w:tc>
          <w:tcPr>
            <w:tcW w:type="dxa" w:w="3324"/>
            <w:tcMar>
              <w:top w:w="110" w:type="dxa"/>
              <w:start w:w="110" w:type="dxa"/>
              <w:bottom w:w="110" w:type="dxa"/>
              <w:end w:w="110" w:type="dxa"/>
            </w:tcMar>
            <w:vAlign w:val="top"/>
          </w:tcPr>
          <w:p>
            <w:pPr>
              <w:pStyle w:val="BodyText"/>
              <w:spacing w:after="0"/>
            </w:pPr>
            <w:r>
              <w:rPr>
                <w:sz w:val="17"/>
              </w:rPr>
              <w:t>Moment rare où la narration initiale ne tient plus entièrement.</w:t>
            </w:r>
          </w:p>
        </w:tc>
        <w:tc>
          <w:tcPr>
            <w:tcW w:type="dxa" w:w="3324"/>
            <w:tcMar>
              <w:top w:w="110" w:type="dxa"/>
              <w:start w:w="110" w:type="dxa"/>
              <w:bottom w:w="110" w:type="dxa"/>
              <w:end w:w="110" w:type="dxa"/>
            </w:tcMar>
            <w:vAlign w:val="top"/>
          </w:tcPr>
          <w:p>
            <w:pPr>
              <w:pStyle w:val="BodyText"/>
              <w:spacing w:after="0"/>
            </w:pPr>
            <w:r>
              <w:rPr>
                <w:sz w:val="17"/>
              </w:rPr>
              <w:t>Silence plus long, recul, rupture d’intonation, retour progressif au portrait.</w:t>
            </w:r>
          </w:p>
        </w:tc>
      </w:tr>
    </w:tbl>
    <w:p/>
    <w:p>
      <w:pPr>
        <w:pStyle w:val="Heading1"/>
        <w:keepNext/>
        <w:pBdr>
          <w:bottom w:val="single" w:sz="10" w:space="1" w:color="8C3B3B"/>
        </w:pBdr>
        <w:spacing w:before="180" w:after="100"/>
      </w:pPr>
      <w:r>
        <w:t>7. Modèle psychologique interne</w:t>
      </w:r>
    </w:p>
    <w:tbl>
      <w:tblPr>
        <w:tblW w:type="auto" w:w="0"/>
        <w:jc w:val="center"/>
        <w:tblLook w:firstColumn="1" w:firstRow="1" w:lastColumn="0" w:lastRow="0" w:noHBand="0" w:noVBand="1" w:val="04A0"/>
      </w:tblPr>
      <w:tblGrid>
        <w:gridCol w:w="9972"/>
      </w:tblGrid>
      <w:tr>
        <w:tc>
          <w:tcPr>
            <w:tcW w:type="dxa" w:w="9972"/>
            <w:shd w:fill="F3EFEA"/>
            <w:tcMar>
              <w:top w:w="160" w:type="dxa"/>
              <w:start w:w="160" w:type="dxa"/>
              <w:bottom w:w="160" w:type="dxa"/>
              <w:end w:w="160" w:type="dxa"/>
            </w:tcMar>
          </w:tcPr>
          <w:p>
            <w:r>
              <w:rPr>
                <w:b/>
                <w:color w:val="7B2626"/>
                <w:sz w:val="17"/>
              </w:rPr>
              <w:t>DÉVELOPPEMENT PROPOSÉ</w:t>
            </w:r>
          </w:p>
          <w:p>
            <w:pPr>
              <w:pStyle w:val="BodyText"/>
            </w:pPr>
            <w:r>
              <w:t>La source prévoit explicitement une psychologie interne et un discours qui se fissure. Les variables suivantes traduisent cette idée en paramètres dramaturgiques, sans prétendre diagnostiquer la personnalité historique réelle.</w:t>
            </w:r>
          </w:p>
        </w:tc>
      </w:tr>
    </w:tbl>
    <w:p/>
    <w:p>
      <w:pPr>
        <w:pStyle w:val="ListBullet"/>
      </w:pPr>
      <w:r>
        <w:t>Contrôle — capacité à imposer le cadre de la conversation.</w:t>
      </w:r>
    </w:p>
    <w:p>
      <w:pPr>
        <w:pStyle w:val="ListBullet"/>
      </w:pPr>
      <w:r>
        <w:t>Assurance — stabilité et certitude de la formulation.</w:t>
      </w:r>
    </w:p>
    <w:p>
      <w:pPr>
        <w:pStyle w:val="ListBullet"/>
      </w:pPr>
      <w:r>
        <w:t>Pression documentaire — force cumulative des contradictions rencontrées.</w:t>
      </w:r>
    </w:p>
    <w:p>
      <w:pPr>
        <w:pStyle w:val="ListBullet"/>
      </w:pPr>
      <w:r>
        <w:t>Irritation — réaction à la perte de contrôle, aux attaques ou aux interruptions.</w:t>
      </w:r>
    </w:p>
    <w:p>
      <w:pPr>
        <w:pStyle w:val="ListBullet"/>
      </w:pPr>
      <w:r>
        <w:t>Déni — tendance à minimiser, déplacer ou reformuler la responsabilité.</w:t>
      </w:r>
    </w:p>
    <w:p>
      <w:pPr>
        <w:pStyle w:val="ListBullet"/>
      </w:pPr>
      <w:r>
        <w:t>Fissure — fragilisation générale de la narration du personnage.</w:t>
      </w:r>
    </w:p>
    <w:p>
      <w:pPr>
        <w:pStyle w:val="ListBullet"/>
      </w:pPr>
      <w:r>
        <w:t>Exposition — degré auquel motivations économiques, politiques, personnelles ou symboliques deviennent explicites.</w:t>
      </w:r>
    </w:p>
    <w:p>
      <w:pPr>
        <w:pStyle w:val="Heading1"/>
        <w:keepNext/>
        <w:pBdr>
          <w:bottom w:val="single" w:sz="10" w:space="1" w:color="8C3B3B"/>
        </w:pBdr>
        <w:spacing w:before="180" w:after="100"/>
      </w:pPr>
      <w:r>
        <w:t>8. Proposition d’animation</w:t>
      </w:r>
    </w:p>
    <w:tbl>
      <w:tblPr>
        <w:tblW w:type="auto" w:w="0"/>
        <w:jc w:val="center"/>
        <w:tblLook w:firstColumn="1" w:firstRow="1" w:lastColumn="0" w:lastRow="0" w:noHBand="0" w:noVBand="1" w:val="04A0"/>
      </w:tblPr>
      <w:tblGrid>
        <w:gridCol w:w="9972"/>
      </w:tblGrid>
      <w:tr>
        <w:tc>
          <w:tcPr>
            <w:tcW w:type="dxa" w:w="9972"/>
            <w:shd w:fill="F3EFEA"/>
            <w:tcMar>
              <w:top w:w="160" w:type="dxa"/>
              <w:start w:w="160" w:type="dxa"/>
              <w:bottom w:w="160" w:type="dxa"/>
              <w:end w:w="160" w:type="dxa"/>
            </w:tcMar>
          </w:tcPr>
          <w:p>
            <w:r>
              <w:rPr>
                <w:b/>
                <w:color w:val="7B2626"/>
                <w:sz w:val="17"/>
              </w:rPr>
              <w:t>DÉVELOPPEMENT PROPOSÉ</w:t>
            </w:r>
          </w:p>
          <w:p>
            <w:pPr>
              <w:pStyle w:val="BodyText"/>
            </w:pPr>
            <w:r>
              <w:t>Objectif : préserver la sensation d’un portrait historique avant de révéler progressivement qu’il est vivant. La présence doit venir du regard, de la voix et du silence, pas d’effets spectaculaires.</w:t>
            </w:r>
          </w:p>
        </w:tc>
      </w:tr>
    </w:tbl>
    <w:p/>
    <w:tbl>
      <w:tblPr>
        <w:tblStyle w:val="TableGrid"/>
        <w:tblW w:type="auto" w:w="0"/>
        <w:jc w:val="center"/>
        <w:tblLook w:firstColumn="1" w:firstRow="1" w:lastColumn="0" w:lastRow="0" w:noHBand="0" w:noVBand="1" w:val="04A0"/>
      </w:tblPr>
      <w:tblGrid>
        <w:gridCol w:w="4986"/>
        <w:gridCol w:w="4986"/>
      </w:tblGrid>
      <w:tr>
        <w:tc>
          <w:tcPr>
            <w:tcW w:type="dxa" w:w="4986"/>
            <w:shd w:fill="2B2B2B"/>
            <w:tcMar>
              <w:top w:w="110" w:type="dxa"/>
              <w:start w:w="110" w:type="dxa"/>
              <w:bottom w:w="110" w:type="dxa"/>
              <w:end w:w="110" w:type="dxa"/>
            </w:tcMar>
          </w:tcPr>
          <w:p>
            <w:r>
              <w:rPr>
                <w:b/>
                <w:color w:val="FFFFFF"/>
                <w:sz w:val="17"/>
              </w:rPr>
              <w:t>Couche</w:t>
            </w:r>
          </w:p>
        </w:tc>
        <w:tc>
          <w:tcPr>
            <w:tcW w:type="dxa" w:w="4986"/>
            <w:shd w:fill="2B2B2B"/>
            <w:tcMar>
              <w:top w:w="110" w:type="dxa"/>
              <w:start w:w="110" w:type="dxa"/>
              <w:bottom w:w="110" w:type="dxa"/>
              <w:end w:w="110" w:type="dxa"/>
            </w:tcMar>
          </w:tcPr>
          <w:p>
            <w:r>
              <w:rPr>
                <w:b/>
                <w:color w:val="FFFFFF"/>
                <w:sz w:val="17"/>
              </w:rPr>
              <w:t>Proposition</w:t>
            </w:r>
          </w:p>
        </w:tc>
      </w:tr>
      <w:tr>
        <w:tc>
          <w:tcPr>
            <w:tcW w:type="dxa" w:w="4986"/>
            <w:tcMar>
              <w:top w:w="110" w:type="dxa"/>
              <w:start w:w="110" w:type="dxa"/>
              <w:bottom w:w="110" w:type="dxa"/>
              <w:end w:w="110" w:type="dxa"/>
            </w:tcMar>
            <w:vAlign w:val="top"/>
          </w:tcPr>
          <w:p>
            <w:pPr>
              <w:pStyle w:val="BodyText"/>
              <w:spacing w:after="0"/>
            </w:pPr>
            <w:r>
              <w:rPr>
                <w:sz w:val="17"/>
              </w:rPr>
              <w:t>Image de base</w:t>
            </w:r>
          </w:p>
        </w:tc>
        <w:tc>
          <w:tcPr>
            <w:tcW w:type="dxa" w:w="4986"/>
            <w:tcMar>
              <w:top w:w="110" w:type="dxa"/>
              <w:start w:w="110" w:type="dxa"/>
              <w:bottom w:w="110" w:type="dxa"/>
              <w:end w:w="110" w:type="dxa"/>
            </w:tcMar>
            <w:vAlign w:val="top"/>
          </w:tcPr>
          <w:p>
            <w:pPr>
              <w:pStyle w:val="BodyText"/>
              <w:spacing w:after="0"/>
            </w:pPr>
            <w:r>
              <w:rPr>
                <w:sz w:val="17"/>
              </w:rPr>
              <w:t>Portrait frontal ou trois-quarts, traité comme un portrait institutionnel ; fond peu animé et lumière stable.</w:t>
            </w:r>
          </w:p>
        </w:tc>
      </w:tr>
      <w:tr>
        <w:tc>
          <w:tcPr>
            <w:tcW w:type="dxa" w:w="4986"/>
            <w:tcMar>
              <w:top w:w="110" w:type="dxa"/>
              <w:start w:w="110" w:type="dxa"/>
              <w:bottom w:w="110" w:type="dxa"/>
              <w:end w:w="110" w:type="dxa"/>
            </w:tcMar>
            <w:vAlign w:val="top"/>
          </w:tcPr>
          <w:p>
            <w:pPr>
              <w:pStyle w:val="BodyText"/>
              <w:spacing w:after="0"/>
            </w:pPr>
            <w:r>
              <w:rPr>
                <w:sz w:val="17"/>
              </w:rPr>
              <w:t>Idle</w:t>
            </w:r>
          </w:p>
        </w:tc>
        <w:tc>
          <w:tcPr>
            <w:tcW w:type="dxa" w:w="4986"/>
            <w:tcMar>
              <w:top w:w="110" w:type="dxa"/>
              <w:start w:w="110" w:type="dxa"/>
              <w:bottom w:w="110" w:type="dxa"/>
              <w:end w:w="110" w:type="dxa"/>
            </w:tcMar>
            <w:vAlign w:val="top"/>
          </w:tcPr>
          <w:p>
            <w:pPr>
              <w:pStyle w:val="BodyText"/>
              <w:spacing w:after="0"/>
            </w:pPr>
            <w:r>
              <w:rPr>
                <w:sz w:val="17"/>
              </w:rPr>
              <w:t>Respiration presque imperceptible, micro-mouvements des yeux, très faible déplacement de tête.</w:t>
            </w:r>
          </w:p>
        </w:tc>
      </w:tr>
      <w:tr>
        <w:tc>
          <w:tcPr>
            <w:tcW w:type="dxa" w:w="4986"/>
            <w:tcMar>
              <w:top w:w="110" w:type="dxa"/>
              <w:start w:w="110" w:type="dxa"/>
              <w:bottom w:w="110" w:type="dxa"/>
              <w:end w:w="110" w:type="dxa"/>
            </w:tcMar>
            <w:vAlign w:val="top"/>
          </w:tcPr>
          <w:p>
            <w:pPr>
              <w:pStyle w:val="BodyText"/>
              <w:spacing w:after="0"/>
            </w:pPr>
            <w:r>
              <w:rPr>
                <w:sz w:val="17"/>
              </w:rPr>
              <w:t>Activation</w:t>
            </w:r>
          </w:p>
        </w:tc>
        <w:tc>
          <w:tcPr>
            <w:tcW w:type="dxa" w:w="4986"/>
            <w:tcMar>
              <w:top w:w="110" w:type="dxa"/>
              <w:start w:w="110" w:type="dxa"/>
              <w:bottom w:w="110" w:type="dxa"/>
              <w:end w:w="110" w:type="dxa"/>
            </w:tcMar>
            <w:vAlign w:val="top"/>
          </w:tcPr>
          <w:p>
            <w:pPr>
              <w:pStyle w:val="BodyText"/>
              <w:spacing w:after="0"/>
            </w:pPr>
            <w:r>
              <w:rPr>
                <w:sz w:val="17"/>
              </w:rPr>
              <w:t>Le regard se dirige vers le visiteur ; très légère correction de posture.</w:t>
            </w:r>
          </w:p>
        </w:tc>
      </w:tr>
      <w:tr>
        <w:tc>
          <w:tcPr>
            <w:tcW w:type="dxa" w:w="4986"/>
            <w:tcMar>
              <w:top w:w="110" w:type="dxa"/>
              <w:start w:w="110" w:type="dxa"/>
              <w:bottom w:w="110" w:type="dxa"/>
              <w:end w:w="110" w:type="dxa"/>
            </w:tcMar>
            <w:vAlign w:val="top"/>
          </w:tcPr>
          <w:p>
            <w:pPr>
              <w:pStyle w:val="BodyText"/>
              <w:spacing w:after="0"/>
            </w:pPr>
            <w:r>
              <w:rPr>
                <w:sz w:val="17"/>
              </w:rPr>
              <w:t>Parole</w:t>
            </w:r>
          </w:p>
        </w:tc>
        <w:tc>
          <w:tcPr>
            <w:tcW w:type="dxa" w:w="4986"/>
            <w:tcMar>
              <w:top w:w="110" w:type="dxa"/>
              <w:start w:w="110" w:type="dxa"/>
              <w:bottom w:w="110" w:type="dxa"/>
              <w:end w:w="110" w:type="dxa"/>
            </w:tcMar>
            <w:vAlign w:val="top"/>
          </w:tcPr>
          <w:p>
            <w:pPr>
              <w:pStyle w:val="BodyText"/>
              <w:spacing w:after="0"/>
            </w:pPr>
            <w:r>
              <w:rPr>
                <w:sz w:val="17"/>
              </w:rPr>
              <w:t>Lip-sync discret, clignements irréguliers, micro-expressions et mouvements limités.</w:t>
            </w:r>
          </w:p>
        </w:tc>
      </w:tr>
      <w:tr>
        <w:tc>
          <w:tcPr>
            <w:tcW w:type="dxa" w:w="4986"/>
            <w:tcMar>
              <w:top w:w="110" w:type="dxa"/>
              <w:start w:w="110" w:type="dxa"/>
              <w:bottom w:w="110" w:type="dxa"/>
              <w:end w:w="110" w:type="dxa"/>
            </w:tcMar>
            <w:vAlign w:val="top"/>
          </w:tcPr>
          <w:p>
            <w:pPr>
              <w:pStyle w:val="BodyText"/>
              <w:spacing w:after="0"/>
            </w:pPr>
            <w:r>
              <w:rPr>
                <w:sz w:val="17"/>
              </w:rPr>
              <w:t>Écoute</w:t>
            </w:r>
          </w:p>
        </w:tc>
        <w:tc>
          <w:tcPr>
            <w:tcW w:type="dxa" w:w="4986"/>
            <w:tcMar>
              <w:top w:w="110" w:type="dxa"/>
              <w:start w:w="110" w:type="dxa"/>
              <w:bottom w:w="110" w:type="dxa"/>
              <w:end w:w="110" w:type="dxa"/>
            </w:tcMar>
            <w:vAlign w:val="top"/>
          </w:tcPr>
          <w:p>
            <w:pPr>
              <w:pStyle w:val="BodyText"/>
              <w:spacing w:after="0"/>
            </w:pPr>
            <w:r>
              <w:rPr>
                <w:sz w:val="17"/>
              </w:rPr>
              <w:t>Contact visuel maintenu ; réaction légère à la durée ou au ton de la question.</w:t>
            </w:r>
          </w:p>
        </w:tc>
      </w:tr>
      <w:tr>
        <w:tc>
          <w:tcPr>
            <w:tcW w:type="dxa" w:w="4986"/>
            <w:tcMar>
              <w:top w:w="110" w:type="dxa"/>
              <w:start w:w="110" w:type="dxa"/>
              <w:bottom w:w="110" w:type="dxa"/>
              <w:end w:w="110" w:type="dxa"/>
            </w:tcMar>
            <w:vAlign w:val="top"/>
          </w:tcPr>
          <w:p>
            <w:pPr>
              <w:pStyle w:val="BodyText"/>
              <w:spacing w:after="0"/>
            </w:pPr>
            <w:r>
              <w:rPr>
                <w:sz w:val="17"/>
              </w:rPr>
              <w:t>Défense</w:t>
            </w:r>
          </w:p>
        </w:tc>
        <w:tc>
          <w:tcPr>
            <w:tcW w:type="dxa" w:w="4986"/>
            <w:tcMar>
              <w:top w:w="110" w:type="dxa"/>
              <w:start w:w="110" w:type="dxa"/>
              <w:bottom w:w="110" w:type="dxa"/>
              <w:end w:w="110" w:type="dxa"/>
            </w:tcMar>
            <w:vAlign w:val="top"/>
          </w:tcPr>
          <w:p>
            <w:pPr>
              <w:pStyle w:val="BodyText"/>
              <w:spacing w:after="0"/>
            </w:pPr>
            <w:r>
              <w:rPr>
                <w:sz w:val="17"/>
              </w:rPr>
              <w:t>Rigidification de la posture, regard plus frontal, articulation plus mesurée.</w:t>
            </w:r>
          </w:p>
        </w:tc>
      </w:tr>
      <w:tr>
        <w:tc>
          <w:tcPr>
            <w:tcW w:type="dxa" w:w="4986"/>
            <w:tcMar>
              <w:top w:w="110" w:type="dxa"/>
              <w:start w:w="110" w:type="dxa"/>
              <w:bottom w:w="110" w:type="dxa"/>
              <w:end w:w="110" w:type="dxa"/>
            </w:tcMar>
            <w:vAlign w:val="top"/>
          </w:tcPr>
          <w:p>
            <w:pPr>
              <w:pStyle w:val="BodyText"/>
              <w:spacing w:after="0"/>
            </w:pPr>
            <w:r>
              <w:rPr>
                <w:sz w:val="17"/>
              </w:rPr>
              <w:t>Fissure</w:t>
            </w:r>
          </w:p>
        </w:tc>
        <w:tc>
          <w:tcPr>
            <w:tcW w:type="dxa" w:w="4986"/>
            <w:tcMar>
              <w:top w:w="110" w:type="dxa"/>
              <w:start w:w="110" w:type="dxa"/>
              <w:bottom w:w="110" w:type="dxa"/>
              <w:end w:w="110" w:type="dxa"/>
            </w:tcMar>
            <w:vAlign w:val="top"/>
          </w:tcPr>
          <w:p>
            <w:pPr>
              <w:pStyle w:val="BodyText"/>
              <w:spacing w:after="0"/>
            </w:pPr>
            <w:r>
              <w:rPr>
                <w:sz w:val="17"/>
              </w:rPr>
              <w:t>Hésitations, respiration plus visible, rupture momentanée du contact visuel ; éventuelle altération numérique très subtile.</w:t>
            </w:r>
          </w:p>
        </w:tc>
      </w:tr>
      <w:tr>
        <w:tc>
          <w:tcPr>
            <w:tcW w:type="dxa" w:w="4986"/>
            <w:tcMar>
              <w:top w:w="110" w:type="dxa"/>
              <w:start w:w="110" w:type="dxa"/>
              <w:bottom w:w="110" w:type="dxa"/>
              <w:end w:w="110" w:type="dxa"/>
            </w:tcMar>
            <w:vAlign w:val="top"/>
          </w:tcPr>
          <w:p>
            <w:pPr>
              <w:pStyle w:val="BodyText"/>
              <w:spacing w:after="0"/>
            </w:pPr>
            <w:r>
              <w:rPr>
                <w:sz w:val="17"/>
              </w:rPr>
              <w:t>Rupture</w:t>
            </w:r>
          </w:p>
        </w:tc>
        <w:tc>
          <w:tcPr>
            <w:tcW w:type="dxa" w:w="4986"/>
            <w:tcMar>
              <w:top w:w="110" w:type="dxa"/>
              <w:start w:w="110" w:type="dxa"/>
              <w:bottom w:w="110" w:type="dxa"/>
              <w:end w:w="110" w:type="dxa"/>
            </w:tcMar>
            <w:vAlign w:val="top"/>
          </w:tcPr>
          <w:p>
            <w:pPr>
              <w:pStyle w:val="BodyText"/>
              <w:spacing w:after="0"/>
            </w:pPr>
            <w:r>
              <w:rPr>
                <w:sz w:val="17"/>
              </w:rPr>
              <w:t>Silence prolongé, recul minime, perte du maintien. Éviter le glitch spectaculaire ou l’esthétique « IA qui bug ».</w:t>
            </w:r>
          </w:p>
        </w:tc>
      </w:tr>
    </w:tbl>
    <w:p/>
    <w:p>
      <w:pPr>
        <w:pStyle w:val="Heading1"/>
        <w:keepNext/>
        <w:pBdr>
          <w:bottom w:val="single" w:sz="10" w:space="1" w:color="8C3B3B"/>
        </w:pBdr>
        <w:spacing w:before="180" w:after="100"/>
      </w:pPr>
      <w:r>
        <w:t>9. Direction visuelle et scénographie</w:t>
      </w:r>
    </w:p>
    <w:p>
      <w:pPr>
        <w:pStyle w:val="ListBullet"/>
      </w:pPr>
      <w:r>
        <w:t>Un vrai cadre physique donne au dispositif la matérialité d’un portrait institutionnel plutôt que celle d’un écran multimédia.</w:t>
      </w:r>
    </w:p>
    <w:p>
      <w:pPr>
        <w:pStyle w:val="ListBullet"/>
      </w:pPr>
      <w:r>
        <w:t>L’écran est masqué par le cadre, un passe-partout ou un traitement de surface afin de réduire la sensation de moniteur.</w:t>
      </w:r>
    </w:p>
    <w:p>
      <w:pPr>
        <w:pStyle w:val="ListBullet"/>
      </w:pPr>
      <w:r>
        <w:t>Scénographie sobre : mur, cadre, zone d’approche, micro discret, audio localisé et cartel séparé.</w:t>
      </w:r>
    </w:p>
    <w:p>
      <w:pPr>
        <w:pStyle w:val="ListBullet"/>
      </w:pPr>
      <w:r>
        <w:t>Le visiteur comprend immédiatement qu’il peut parler, sans tutoriel long.</w:t>
      </w:r>
    </w:p>
    <w:p>
      <w:pPr>
        <w:pStyle w:val="ListBullet"/>
      </w:pPr>
      <w:r>
        <w:t>L’éclairage maintient une présence muséale et évite les reflets.</w:t>
      </w:r>
    </w:p>
    <w:p>
      <w:pPr>
        <w:pStyle w:val="ListBullet"/>
      </w:pPr>
      <w:r>
        <w:t>Une interface texte secondaire peut être prévue pour accessibilité et environnement bruyant.</w:t>
      </w:r>
    </w:p>
    <w:p>
      <w:pPr>
        <w:pStyle w:val="Heading1"/>
        <w:keepNext/>
        <w:pBdr>
          <w:bottom w:val="single" w:sz="10" w:space="1" w:color="8C3B3B"/>
        </w:pBdr>
        <w:spacing w:before="180" w:after="100"/>
      </w:pPr>
      <w:r>
        <w:t>10. Corpus documentaire</w:t>
      </w:r>
    </w:p>
    <w:p>
      <w:pPr>
        <w:pStyle w:val="BodyText"/>
      </w:pPr>
      <w:r>
        <w:rPr>
          <w:b/>
        </w:rPr>
        <w:t xml:space="preserve">Le corpus est le socle de crédibilité. </w:t>
      </w:r>
      <w:r>
        <w:t>Il doit permettre au personnage de reproduire une logique de justification tout en donnant au système les moyens de confronter cette justification à des sources contradictoires.</w:t>
      </w:r>
    </w:p>
    <w:tbl>
      <w:tblPr>
        <w:tblStyle w:val="TableGrid"/>
        <w:tblW w:type="auto" w:w="0"/>
        <w:jc w:val="center"/>
        <w:tblLook w:firstColumn="1" w:firstRow="1" w:lastColumn="0" w:lastRow="0" w:noHBand="0" w:noVBand="1" w:val="04A0"/>
      </w:tblPr>
      <w:tblGrid>
        <w:gridCol w:w="4986"/>
        <w:gridCol w:w="4986"/>
      </w:tblGrid>
      <w:tr>
        <w:tc>
          <w:tcPr>
            <w:tcW w:type="dxa" w:w="4986"/>
            <w:shd w:fill="2B2B2B"/>
            <w:tcMar>
              <w:top w:w="110" w:type="dxa"/>
              <w:start w:w="110" w:type="dxa"/>
              <w:bottom w:w="110" w:type="dxa"/>
              <w:end w:w="110" w:type="dxa"/>
            </w:tcMar>
          </w:tcPr>
          <w:p>
            <w:r>
              <w:rPr>
                <w:b/>
                <w:color w:val="FFFFFF"/>
                <w:sz w:val="17"/>
              </w:rPr>
              <w:t>Famille de sources</w:t>
            </w:r>
          </w:p>
        </w:tc>
        <w:tc>
          <w:tcPr>
            <w:tcW w:type="dxa" w:w="4986"/>
            <w:shd w:fill="2B2B2B"/>
            <w:tcMar>
              <w:top w:w="110" w:type="dxa"/>
              <w:start w:w="110" w:type="dxa"/>
              <w:bottom w:w="110" w:type="dxa"/>
              <w:end w:w="110" w:type="dxa"/>
            </w:tcMar>
          </w:tcPr>
          <w:p>
            <w:r>
              <w:rPr>
                <w:b/>
                <w:color w:val="FFFFFF"/>
                <w:sz w:val="17"/>
              </w:rPr>
              <w:t>Fonction</w:t>
            </w:r>
          </w:p>
        </w:tc>
      </w:tr>
      <w:tr>
        <w:tc>
          <w:tcPr>
            <w:tcW w:type="dxa" w:w="4986"/>
            <w:tcMar>
              <w:top w:w="110" w:type="dxa"/>
              <w:start w:w="110" w:type="dxa"/>
              <w:bottom w:w="110" w:type="dxa"/>
              <w:end w:w="110" w:type="dxa"/>
            </w:tcMar>
            <w:vAlign w:val="top"/>
          </w:tcPr>
          <w:p>
            <w:pPr>
              <w:pStyle w:val="BodyText"/>
              <w:spacing w:after="0"/>
            </w:pPr>
            <w:r>
              <w:rPr>
                <w:sz w:val="17"/>
              </w:rPr>
              <w:t>Sources primaires attribuables à Léopold II</w:t>
            </w:r>
          </w:p>
        </w:tc>
        <w:tc>
          <w:tcPr>
            <w:tcW w:type="dxa" w:w="4986"/>
            <w:tcMar>
              <w:top w:w="110" w:type="dxa"/>
              <w:start w:w="110" w:type="dxa"/>
              <w:bottom w:w="110" w:type="dxa"/>
              <w:end w:w="110" w:type="dxa"/>
            </w:tcMar>
            <w:vAlign w:val="top"/>
          </w:tcPr>
          <w:p>
            <w:pPr>
              <w:pStyle w:val="BodyText"/>
              <w:spacing w:after="0"/>
            </w:pPr>
            <w:r>
              <w:rPr>
                <w:sz w:val="17"/>
              </w:rPr>
              <w:t>Documenter vocabulaire, arguments, priorités, discours et correspondances.</w:t>
            </w:r>
          </w:p>
        </w:tc>
      </w:tr>
      <w:tr>
        <w:tc>
          <w:tcPr>
            <w:tcW w:type="dxa" w:w="4986"/>
            <w:tcMar>
              <w:top w:w="110" w:type="dxa"/>
              <w:start w:w="110" w:type="dxa"/>
              <w:bottom w:w="110" w:type="dxa"/>
              <w:end w:w="110" w:type="dxa"/>
            </w:tcMar>
            <w:vAlign w:val="top"/>
          </w:tcPr>
          <w:p>
            <w:pPr>
              <w:pStyle w:val="BodyText"/>
              <w:spacing w:after="0"/>
            </w:pPr>
            <w:r>
              <w:rPr>
                <w:sz w:val="17"/>
              </w:rPr>
              <w:t>Archives administratives et politiques</w:t>
            </w:r>
          </w:p>
        </w:tc>
        <w:tc>
          <w:tcPr>
            <w:tcW w:type="dxa" w:w="4986"/>
            <w:tcMar>
              <w:top w:w="110" w:type="dxa"/>
              <w:start w:w="110" w:type="dxa"/>
              <w:bottom w:w="110" w:type="dxa"/>
              <w:end w:w="110" w:type="dxa"/>
            </w:tcMar>
            <w:vAlign w:val="top"/>
          </w:tcPr>
          <w:p>
            <w:pPr>
              <w:pStyle w:val="BodyText"/>
              <w:spacing w:after="0"/>
            </w:pPr>
            <w:r>
              <w:rPr>
                <w:sz w:val="17"/>
              </w:rPr>
              <w:t>Contextualiser décisions, institutions, chaînes de responsabilité et enjeux économiques ou diplomatiques.</w:t>
            </w:r>
          </w:p>
        </w:tc>
      </w:tr>
      <w:tr>
        <w:tc>
          <w:tcPr>
            <w:tcW w:type="dxa" w:w="4986"/>
            <w:tcMar>
              <w:top w:w="110" w:type="dxa"/>
              <w:start w:w="110" w:type="dxa"/>
              <w:bottom w:w="110" w:type="dxa"/>
              <w:end w:w="110" w:type="dxa"/>
            </w:tcMar>
            <w:vAlign w:val="top"/>
          </w:tcPr>
          <w:p>
            <w:pPr>
              <w:pStyle w:val="BodyText"/>
              <w:spacing w:after="0"/>
            </w:pPr>
            <w:r>
              <w:rPr>
                <w:sz w:val="17"/>
              </w:rPr>
              <w:t>Sources contemporaines des événements</w:t>
            </w:r>
          </w:p>
        </w:tc>
        <w:tc>
          <w:tcPr>
            <w:tcW w:type="dxa" w:w="4986"/>
            <w:tcMar>
              <w:top w:w="110" w:type="dxa"/>
              <w:start w:w="110" w:type="dxa"/>
              <w:bottom w:w="110" w:type="dxa"/>
              <w:end w:w="110" w:type="dxa"/>
            </w:tcMar>
            <w:vAlign w:val="top"/>
          </w:tcPr>
          <w:p>
            <w:pPr>
              <w:pStyle w:val="BodyText"/>
              <w:spacing w:after="0"/>
            </w:pPr>
            <w:r>
              <w:rPr>
                <w:sz w:val="17"/>
              </w:rPr>
              <w:t>Rapports, témoignages, presse, enquêtes et controverses de l’époque.</w:t>
            </w:r>
          </w:p>
        </w:tc>
      </w:tr>
      <w:tr>
        <w:tc>
          <w:tcPr>
            <w:tcW w:type="dxa" w:w="4986"/>
            <w:tcMar>
              <w:top w:w="110" w:type="dxa"/>
              <w:start w:w="110" w:type="dxa"/>
              <w:bottom w:w="110" w:type="dxa"/>
              <w:end w:w="110" w:type="dxa"/>
            </w:tcMar>
            <w:vAlign w:val="top"/>
          </w:tcPr>
          <w:p>
            <w:pPr>
              <w:pStyle w:val="BodyText"/>
              <w:spacing w:after="0"/>
            </w:pPr>
            <w:r>
              <w:rPr>
                <w:sz w:val="17"/>
              </w:rPr>
              <w:t>Travaux historiques</w:t>
            </w:r>
          </w:p>
        </w:tc>
        <w:tc>
          <w:tcPr>
            <w:tcW w:type="dxa" w:w="4986"/>
            <w:tcMar>
              <w:top w:w="110" w:type="dxa"/>
              <w:start w:w="110" w:type="dxa"/>
              <w:bottom w:w="110" w:type="dxa"/>
              <w:end w:w="110" w:type="dxa"/>
            </w:tcMar>
            <w:vAlign w:val="top"/>
          </w:tcPr>
          <w:p>
            <w:pPr>
              <w:pStyle w:val="BodyText"/>
              <w:spacing w:after="0"/>
            </w:pPr>
            <w:r>
              <w:rPr>
                <w:sz w:val="17"/>
              </w:rPr>
              <w:t>Établir faits, contexte et débats historiographiques.</w:t>
            </w:r>
          </w:p>
        </w:tc>
      </w:tr>
      <w:tr>
        <w:tc>
          <w:tcPr>
            <w:tcW w:type="dxa" w:w="4986"/>
            <w:tcMar>
              <w:top w:w="110" w:type="dxa"/>
              <w:start w:w="110" w:type="dxa"/>
              <w:bottom w:w="110" w:type="dxa"/>
              <w:end w:w="110" w:type="dxa"/>
            </w:tcMar>
            <w:vAlign w:val="top"/>
          </w:tcPr>
          <w:p>
            <w:pPr>
              <w:pStyle w:val="BodyText"/>
              <w:spacing w:after="0"/>
            </w:pPr>
            <w:r>
              <w:rPr>
                <w:sz w:val="17"/>
              </w:rPr>
              <w:t>Récits coloniaux et contre-récits</w:t>
            </w:r>
          </w:p>
        </w:tc>
        <w:tc>
          <w:tcPr>
            <w:tcW w:type="dxa" w:w="4986"/>
            <w:tcMar>
              <w:top w:w="110" w:type="dxa"/>
              <w:start w:w="110" w:type="dxa"/>
              <w:bottom w:w="110" w:type="dxa"/>
              <w:end w:w="110" w:type="dxa"/>
            </w:tcMar>
            <w:vAlign w:val="top"/>
          </w:tcPr>
          <w:p>
            <w:pPr>
              <w:pStyle w:val="BodyText"/>
              <w:spacing w:after="0"/>
            </w:pPr>
            <w:r>
              <w:rPr>
                <w:sz w:val="17"/>
              </w:rPr>
              <w:t>Mettre en présence les récits produits par le pouvoir et ceux qui les contestent.</w:t>
            </w:r>
          </w:p>
        </w:tc>
      </w:tr>
      <w:tr>
        <w:tc>
          <w:tcPr>
            <w:tcW w:type="dxa" w:w="4986"/>
            <w:tcMar>
              <w:top w:w="110" w:type="dxa"/>
              <w:start w:w="110" w:type="dxa"/>
              <w:bottom w:w="110" w:type="dxa"/>
              <w:end w:w="110" w:type="dxa"/>
            </w:tcMar>
            <w:vAlign w:val="top"/>
          </w:tcPr>
          <w:p>
            <w:pPr>
              <w:pStyle w:val="BodyText"/>
              <w:spacing w:after="0"/>
            </w:pPr>
            <w:r>
              <w:rPr>
                <w:sz w:val="17"/>
              </w:rPr>
              <w:t>Voix congolaises et travaux postcoloniaux</w:t>
            </w:r>
          </w:p>
        </w:tc>
        <w:tc>
          <w:tcPr>
            <w:tcW w:type="dxa" w:w="4986"/>
            <w:tcMar>
              <w:top w:w="110" w:type="dxa"/>
              <w:start w:w="110" w:type="dxa"/>
              <w:bottom w:w="110" w:type="dxa"/>
              <w:end w:w="110" w:type="dxa"/>
            </w:tcMar>
            <w:vAlign w:val="top"/>
          </w:tcPr>
          <w:p>
            <w:pPr>
              <w:pStyle w:val="BodyText"/>
              <w:spacing w:after="0"/>
            </w:pPr>
            <w:r>
              <w:rPr>
                <w:sz w:val="17"/>
              </w:rPr>
              <w:t>Éviter que le sens reste enfermé dans un regard uniquement belge ou européen.</w:t>
            </w:r>
          </w:p>
        </w:tc>
      </w:tr>
      <w:tr>
        <w:tc>
          <w:tcPr>
            <w:tcW w:type="dxa" w:w="4986"/>
            <w:tcMar>
              <w:top w:w="110" w:type="dxa"/>
              <w:start w:w="110" w:type="dxa"/>
              <w:bottom w:w="110" w:type="dxa"/>
              <w:end w:w="110" w:type="dxa"/>
            </w:tcMar>
            <w:vAlign w:val="top"/>
          </w:tcPr>
          <w:p>
            <w:pPr>
              <w:pStyle w:val="BodyText"/>
              <w:spacing w:after="0"/>
            </w:pPr>
            <w:r>
              <w:rPr>
                <w:sz w:val="17"/>
              </w:rPr>
              <w:t>Documentation mémorielle contemporaine</w:t>
            </w:r>
          </w:p>
        </w:tc>
        <w:tc>
          <w:tcPr>
            <w:tcW w:type="dxa" w:w="4986"/>
            <w:tcMar>
              <w:top w:w="110" w:type="dxa"/>
              <w:start w:w="110" w:type="dxa"/>
              <w:bottom w:w="110" w:type="dxa"/>
              <w:end w:w="110" w:type="dxa"/>
            </w:tcMar>
            <w:vAlign w:val="top"/>
          </w:tcPr>
          <w:p>
            <w:pPr>
              <w:pStyle w:val="BodyText"/>
              <w:spacing w:after="0"/>
            </w:pPr>
            <w:r>
              <w:rPr>
                <w:sz w:val="17"/>
              </w:rPr>
              <w:t>Relier le personnage aux débats actuels sur mémoire, statues, transmission et responsabilité.</w:t>
            </w:r>
          </w:p>
        </w:tc>
      </w:tr>
    </w:tbl>
    <w:p/>
    <w:p>
      <w:pPr>
        <w:pStyle w:val="Heading1"/>
        <w:keepNext/>
        <w:pBdr>
          <w:bottom w:val="single" w:sz="10" w:space="1" w:color="8C3B3B"/>
        </w:pBdr>
        <w:spacing w:before="180" w:after="100"/>
      </w:pPr>
      <w:r>
        <w:t>11. Politique documentaire et règles de vérité</w:t>
      </w:r>
    </w:p>
    <w:p>
      <w:pPr>
        <w:pStyle w:val="ListBullet"/>
      </w:pPr>
      <w:r>
        <w:t>Chaque document possède un identifiant stable, une date, un auteur/organisme, un type de source, une période et un statut éditorial.</w:t>
      </w:r>
    </w:p>
    <w:p>
      <w:pPr>
        <w:pStyle w:val="ListBullet"/>
      </w:pPr>
      <w:r>
        <w:t>Les citations directes doivent provenir du corpus et être traçables ; aucune citation historique ne peut être fabriquée.</w:t>
      </w:r>
    </w:p>
    <w:p>
      <w:pPr>
        <w:pStyle w:val="ListBullet"/>
      </w:pPr>
      <w:r>
        <w:t>Synthèse et interprétation sont distinguées des citations littérales.</w:t>
      </w:r>
    </w:p>
    <w:p>
      <w:pPr>
        <w:pStyle w:val="ListBullet"/>
      </w:pPr>
      <w:r>
        <w:t>Lorsqu’un point est historiographiquement débattu, le système exprime cette incertitude au lieu de la masquer.</w:t>
      </w:r>
    </w:p>
    <w:p>
      <w:pPr>
        <w:pStyle w:val="ListBullet"/>
      </w:pPr>
      <w:r>
        <w:t>Le personnage peut rationaliser ou esquiver ; une couche documentaire externe reste responsable de la cohérence factuelle.</w:t>
      </w:r>
    </w:p>
    <w:p>
      <w:pPr>
        <w:pStyle w:val="ListBullet"/>
      </w:pPr>
      <w:r>
        <w:t>Une question hors corpus doit pouvoir produire un « je ne peux pas l’établir » plutôt qu’une invention destinée à préserver l’illusion.</w:t>
      </w:r>
    </w:p>
    <w:p>
      <w:pPr>
        <w:pStyle w:val="Heading1"/>
        <w:keepNext/>
        <w:pBdr>
          <w:bottom w:val="single" w:sz="10" w:space="1" w:color="8C3B3B"/>
        </w:pBdr>
        <w:spacing w:before="180" w:after="100"/>
      </w:pPr>
      <w:r>
        <w:t>12. Brief technique</w:t>
      </w:r>
    </w:p>
    <w:tbl>
      <w:tblPr>
        <w:tblW w:type="auto" w:w="0"/>
        <w:jc w:val="center"/>
        <w:tblLook w:firstColumn="1" w:firstRow="1" w:lastColumn="0" w:lastRow="0" w:noHBand="0" w:noVBand="1" w:val="04A0"/>
      </w:tblPr>
      <w:tblGrid>
        <w:gridCol w:w="9972"/>
      </w:tblGrid>
      <w:tr>
        <w:tc>
          <w:tcPr>
            <w:tcW w:type="dxa" w:w="9972"/>
            <w:shd w:fill="F3EFEA"/>
            <w:tcMar>
              <w:top w:w="160" w:type="dxa"/>
              <w:start w:w="160" w:type="dxa"/>
              <w:bottom w:w="160" w:type="dxa"/>
              <w:end w:w="160" w:type="dxa"/>
            </w:tcMar>
          </w:tcPr>
          <w:p>
            <w:r>
              <w:rPr>
                <w:b/>
                <w:color w:val="7B2626"/>
                <w:sz w:val="17"/>
              </w:rPr>
              <w:t>ARCHITECTURE PROPOSÉE</w:t>
            </w:r>
          </w:p>
          <w:p>
            <w:pPr>
              <w:pStyle w:val="BodyText"/>
            </w:pPr>
            <w:r>
              <w:t>La source mentionne écran, voix de synthèse, micro, reconnaissance vocale et modèle de langage alimenté par un corpus. L’architecture ci-dessous détaille une implémentation contrôlable et maintenable.</w:t>
            </w:r>
          </w:p>
        </w:tc>
      </w:tr>
    </w:tbl>
    <w:p/>
    <w:tbl>
      <w:tblPr>
        <w:tblStyle w:val="TableGrid"/>
        <w:tblW w:type="auto" w:w="0"/>
        <w:jc w:val="center"/>
        <w:tblLook w:firstColumn="1" w:firstRow="1" w:lastColumn="0" w:lastRow="0" w:noHBand="0" w:noVBand="1" w:val="04A0"/>
      </w:tblPr>
      <w:tblGrid>
        <w:gridCol w:w="3324"/>
        <w:gridCol w:w="3324"/>
        <w:gridCol w:w="3324"/>
      </w:tblGrid>
      <w:tr>
        <w:tc>
          <w:tcPr>
            <w:tcW w:type="dxa" w:w="3324"/>
            <w:shd w:fill="2B2B2B"/>
            <w:tcMar>
              <w:top w:w="110" w:type="dxa"/>
              <w:start w:w="110" w:type="dxa"/>
              <w:bottom w:w="110" w:type="dxa"/>
              <w:end w:w="110" w:type="dxa"/>
            </w:tcMar>
          </w:tcPr>
          <w:p>
            <w:r>
              <w:rPr>
                <w:b/>
                <w:color w:val="FFFFFF"/>
                <w:sz w:val="17"/>
              </w:rPr>
              <w:t>Bloc</w:t>
            </w:r>
          </w:p>
        </w:tc>
        <w:tc>
          <w:tcPr>
            <w:tcW w:type="dxa" w:w="3324"/>
            <w:shd w:fill="2B2B2B"/>
            <w:tcMar>
              <w:top w:w="110" w:type="dxa"/>
              <w:start w:w="110" w:type="dxa"/>
              <w:bottom w:w="110" w:type="dxa"/>
              <w:end w:w="110" w:type="dxa"/>
            </w:tcMar>
          </w:tcPr>
          <w:p>
            <w:r>
              <w:rPr>
                <w:b/>
                <w:color w:val="FFFFFF"/>
                <w:sz w:val="17"/>
              </w:rPr>
              <w:t>Responsabilité</w:t>
            </w:r>
          </w:p>
        </w:tc>
        <w:tc>
          <w:tcPr>
            <w:tcW w:type="dxa" w:w="3324"/>
            <w:shd w:fill="2B2B2B"/>
            <w:tcMar>
              <w:top w:w="110" w:type="dxa"/>
              <w:start w:w="110" w:type="dxa"/>
              <w:bottom w:w="110" w:type="dxa"/>
              <w:end w:w="110" w:type="dxa"/>
            </w:tcMar>
          </w:tcPr>
          <w:p>
            <w:r>
              <w:rPr>
                <w:b/>
                <w:color w:val="FFFFFF"/>
                <w:sz w:val="17"/>
              </w:rPr>
              <w:t>Sortie</w:t>
            </w:r>
          </w:p>
        </w:tc>
      </w:tr>
      <w:tr>
        <w:tc>
          <w:tcPr>
            <w:tcW w:type="dxa" w:w="3324"/>
            <w:tcMar>
              <w:top w:w="110" w:type="dxa"/>
              <w:start w:w="110" w:type="dxa"/>
              <w:bottom w:w="110" w:type="dxa"/>
              <w:end w:w="110" w:type="dxa"/>
            </w:tcMar>
            <w:vAlign w:val="top"/>
          </w:tcPr>
          <w:p>
            <w:pPr>
              <w:pStyle w:val="BodyText"/>
              <w:spacing w:after="0"/>
            </w:pPr>
            <w:r>
              <w:rPr>
                <w:sz w:val="17"/>
              </w:rPr>
              <w:t>1. Capture</w:t>
            </w:r>
          </w:p>
        </w:tc>
        <w:tc>
          <w:tcPr>
            <w:tcW w:type="dxa" w:w="3324"/>
            <w:tcMar>
              <w:top w:w="110" w:type="dxa"/>
              <w:start w:w="110" w:type="dxa"/>
              <w:bottom w:w="110" w:type="dxa"/>
              <w:end w:w="110" w:type="dxa"/>
            </w:tcMar>
            <w:vAlign w:val="top"/>
          </w:tcPr>
          <w:p>
            <w:pPr>
              <w:pStyle w:val="BodyText"/>
              <w:spacing w:after="0"/>
            </w:pPr>
            <w:r>
              <w:rPr>
                <w:sz w:val="17"/>
              </w:rPr>
              <w:t>Micro directionnel, détection de parole, réduction du bruit.</w:t>
            </w:r>
          </w:p>
        </w:tc>
        <w:tc>
          <w:tcPr>
            <w:tcW w:type="dxa" w:w="3324"/>
            <w:tcMar>
              <w:top w:w="110" w:type="dxa"/>
              <w:start w:w="110" w:type="dxa"/>
              <w:bottom w:w="110" w:type="dxa"/>
              <w:end w:w="110" w:type="dxa"/>
            </w:tcMar>
            <w:vAlign w:val="top"/>
          </w:tcPr>
          <w:p>
            <w:pPr>
              <w:pStyle w:val="BodyText"/>
              <w:spacing w:after="0"/>
            </w:pPr>
            <w:r>
              <w:rPr>
                <w:sz w:val="17"/>
              </w:rPr>
              <w:t>Audio visiteur</w:t>
            </w:r>
          </w:p>
        </w:tc>
      </w:tr>
      <w:tr>
        <w:tc>
          <w:tcPr>
            <w:tcW w:type="dxa" w:w="3324"/>
            <w:tcMar>
              <w:top w:w="110" w:type="dxa"/>
              <w:start w:w="110" w:type="dxa"/>
              <w:bottom w:w="110" w:type="dxa"/>
              <w:end w:w="110" w:type="dxa"/>
            </w:tcMar>
            <w:vAlign w:val="top"/>
          </w:tcPr>
          <w:p>
            <w:pPr>
              <w:pStyle w:val="BodyText"/>
              <w:spacing w:after="0"/>
            </w:pPr>
            <w:r>
              <w:rPr>
                <w:sz w:val="17"/>
              </w:rPr>
              <w:t>2. ASR</w:t>
            </w:r>
          </w:p>
        </w:tc>
        <w:tc>
          <w:tcPr>
            <w:tcW w:type="dxa" w:w="3324"/>
            <w:tcMar>
              <w:top w:w="110" w:type="dxa"/>
              <w:start w:w="110" w:type="dxa"/>
              <w:bottom w:w="110" w:type="dxa"/>
              <w:end w:w="110" w:type="dxa"/>
            </w:tcMar>
            <w:vAlign w:val="top"/>
          </w:tcPr>
          <w:p>
            <w:pPr>
              <w:pStyle w:val="BodyText"/>
              <w:spacing w:after="0"/>
            </w:pPr>
            <w:r>
              <w:rPr>
                <w:sz w:val="17"/>
              </w:rPr>
              <w:t>Reconnaissance vocale locale ou cloud selon contraintes.</w:t>
            </w:r>
          </w:p>
        </w:tc>
        <w:tc>
          <w:tcPr>
            <w:tcW w:type="dxa" w:w="3324"/>
            <w:tcMar>
              <w:top w:w="110" w:type="dxa"/>
              <w:start w:w="110" w:type="dxa"/>
              <w:bottom w:w="110" w:type="dxa"/>
              <w:end w:w="110" w:type="dxa"/>
            </w:tcMar>
            <w:vAlign w:val="top"/>
          </w:tcPr>
          <w:p>
            <w:pPr>
              <w:pStyle w:val="BodyText"/>
              <w:spacing w:after="0"/>
            </w:pPr>
            <w:r>
              <w:rPr>
                <w:sz w:val="17"/>
              </w:rPr>
              <w:t>Texte + confiance</w:t>
            </w:r>
          </w:p>
        </w:tc>
      </w:tr>
      <w:tr>
        <w:tc>
          <w:tcPr>
            <w:tcW w:type="dxa" w:w="3324"/>
            <w:tcMar>
              <w:top w:w="110" w:type="dxa"/>
              <w:start w:w="110" w:type="dxa"/>
              <w:bottom w:w="110" w:type="dxa"/>
              <w:end w:w="110" w:type="dxa"/>
            </w:tcMar>
            <w:vAlign w:val="top"/>
          </w:tcPr>
          <w:p>
            <w:pPr>
              <w:pStyle w:val="BodyText"/>
              <w:spacing w:after="0"/>
            </w:pPr>
            <w:r>
              <w:rPr>
                <w:sz w:val="17"/>
              </w:rPr>
              <w:t>3. Orchestrateur</w:t>
            </w:r>
          </w:p>
        </w:tc>
        <w:tc>
          <w:tcPr>
            <w:tcW w:type="dxa" w:w="3324"/>
            <w:tcMar>
              <w:top w:w="110" w:type="dxa"/>
              <w:start w:w="110" w:type="dxa"/>
              <w:bottom w:w="110" w:type="dxa"/>
              <w:end w:w="110" w:type="dxa"/>
            </w:tcMar>
            <w:vAlign w:val="top"/>
          </w:tcPr>
          <w:p>
            <w:pPr>
              <w:pStyle w:val="BodyText"/>
              <w:spacing w:after="0"/>
            </w:pPr>
            <w:r>
              <w:rPr>
                <w:sz w:val="17"/>
              </w:rPr>
              <w:t>Session, contexte, timeouts, sécurité, ordre des appels et états dramaturgiques.</w:t>
            </w:r>
          </w:p>
        </w:tc>
        <w:tc>
          <w:tcPr>
            <w:tcW w:type="dxa" w:w="3324"/>
            <w:tcMar>
              <w:top w:w="110" w:type="dxa"/>
              <w:start w:w="110" w:type="dxa"/>
              <w:bottom w:w="110" w:type="dxa"/>
              <w:end w:w="110" w:type="dxa"/>
            </w:tcMar>
            <w:vAlign w:val="top"/>
          </w:tcPr>
          <w:p>
            <w:pPr>
              <w:pStyle w:val="BodyText"/>
              <w:spacing w:after="0"/>
            </w:pPr>
            <w:r>
              <w:rPr>
                <w:sz w:val="17"/>
              </w:rPr>
              <w:t>Requête structurée</w:t>
            </w:r>
          </w:p>
        </w:tc>
      </w:tr>
      <w:tr>
        <w:tc>
          <w:tcPr>
            <w:tcW w:type="dxa" w:w="3324"/>
            <w:tcMar>
              <w:top w:w="110" w:type="dxa"/>
              <w:start w:w="110" w:type="dxa"/>
              <w:bottom w:w="110" w:type="dxa"/>
              <w:end w:w="110" w:type="dxa"/>
            </w:tcMar>
            <w:vAlign w:val="top"/>
          </w:tcPr>
          <w:p>
            <w:pPr>
              <w:pStyle w:val="BodyText"/>
              <w:spacing w:after="0"/>
            </w:pPr>
            <w:r>
              <w:rPr>
                <w:sz w:val="17"/>
              </w:rPr>
              <w:t>4. Recherche documentaire</w:t>
            </w:r>
          </w:p>
        </w:tc>
        <w:tc>
          <w:tcPr>
            <w:tcW w:type="dxa" w:w="3324"/>
            <w:tcMar>
              <w:top w:w="110" w:type="dxa"/>
              <w:start w:w="110" w:type="dxa"/>
              <w:bottom w:w="110" w:type="dxa"/>
              <w:end w:w="110" w:type="dxa"/>
            </w:tcMar>
            <w:vAlign w:val="top"/>
          </w:tcPr>
          <w:p>
            <w:pPr>
              <w:pStyle w:val="BodyText"/>
              <w:spacing w:after="0"/>
            </w:pPr>
            <w:r>
              <w:rPr>
                <w:sz w:val="17"/>
              </w:rPr>
              <w:t>RAG hybride : recherche lexicale + vectorielle + filtres.</w:t>
            </w:r>
          </w:p>
        </w:tc>
        <w:tc>
          <w:tcPr>
            <w:tcW w:type="dxa" w:w="3324"/>
            <w:tcMar>
              <w:top w:w="110" w:type="dxa"/>
              <w:start w:w="110" w:type="dxa"/>
              <w:bottom w:w="110" w:type="dxa"/>
              <w:end w:w="110" w:type="dxa"/>
            </w:tcMar>
            <w:vAlign w:val="top"/>
          </w:tcPr>
          <w:p>
            <w:pPr>
              <w:pStyle w:val="BodyText"/>
              <w:spacing w:after="0"/>
            </w:pPr>
            <w:r>
              <w:rPr>
                <w:sz w:val="17"/>
              </w:rPr>
              <w:t>Passages sourcés</w:t>
            </w:r>
          </w:p>
        </w:tc>
      </w:tr>
      <w:tr>
        <w:tc>
          <w:tcPr>
            <w:tcW w:type="dxa" w:w="3324"/>
            <w:tcMar>
              <w:top w:w="110" w:type="dxa"/>
              <w:start w:w="110" w:type="dxa"/>
              <w:bottom w:w="110" w:type="dxa"/>
              <w:end w:w="110" w:type="dxa"/>
            </w:tcMar>
            <w:vAlign w:val="top"/>
          </w:tcPr>
          <w:p>
            <w:pPr>
              <w:pStyle w:val="BodyText"/>
              <w:spacing w:after="0"/>
            </w:pPr>
            <w:r>
              <w:rPr>
                <w:sz w:val="17"/>
              </w:rPr>
              <w:t>5. Moteur de personnage</w:t>
            </w:r>
          </w:p>
        </w:tc>
        <w:tc>
          <w:tcPr>
            <w:tcW w:type="dxa" w:w="3324"/>
            <w:tcMar>
              <w:top w:w="110" w:type="dxa"/>
              <w:start w:w="110" w:type="dxa"/>
              <w:bottom w:w="110" w:type="dxa"/>
              <w:end w:w="110" w:type="dxa"/>
            </w:tcMar>
            <w:vAlign w:val="top"/>
          </w:tcPr>
          <w:p>
            <w:pPr>
              <w:pStyle w:val="BodyText"/>
              <w:spacing w:after="0"/>
            </w:pPr>
            <w:r>
              <w:rPr>
                <w:sz w:val="17"/>
              </w:rPr>
              <w:t>LLM avec rôle, contraintes de factualité, mémoire courte et paramètres dramaturgiques.</w:t>
            </w:r>
          </w:p>
        </w:tc>
        <w:tc>
          <w:tcPr>
            <w:tcW w:type="dxa" w:w="3324"/>
            <w:tcMar>
              <w:top w:w="110" w:type="dxa"/>
              <w:start w:w="110" w:type="dxa"/>
              <w:bottom w:w="110" w:type="dxa"/>
              <w:end w:w="110" w:type="dxa"/>
            </w:tcMar>
            <w:vAlign w:val="top"/>
          </w:tcPr>
          <w:p>
            <w:pPr>
              <w:pStyle w:val="BodyText"/>
              <w:spacing w:after="0"/>
            </w:pPr>
            <w:r>
              <w:rPr>
                <w:sz w:val="17"/>
              </w:rPr>
              <w:t>Réponse structurée</w:t>
            </w:r>
          </w:p>
        </w:tc>
      </w:tr>
      <w:tr>
        <w:tc>
          <w:tcPr>
            <w:tcW w:type="dxa" w:w="3324"/>
            <w:tcMar>
              <w:top w:w="110" w:type="dxa"/>
              <w:start w:w="110" w:type="dxa"/>
              <w:bottom w:w="110" w:type="dxa"/>
              <w:end w:w="110" w:type="dxa"/>
            </w:tcMar>
            <w:vAlign w:val="top"/>
          </w:tcPr>
          <w:p>
            <w:pPr>
              <w:pStyle w:val="BodyText"/>
              <w:spacing w:after="0"/>
            </w:pPr>
            <w:r>
              <w:rPr>
                <w:sz w:val="17"/>
              </w:rPr>
              <w:t>6. Vérification</w:t>
            </w:r>
          </w:p>
        </w:tc>
        <w:tc>
          <w:tcPr>
            <w:tcW w:type="dxa" w:w="3324"/>
            <w:tcMar>
              <w:top w:w="110" w:type="dxa"/>
              <w:start w:w="110" w:type="dxa"/>
              <w:bottom w:w="110" w:type="dxa"/>
              <w:end w:w="110" w:type="dxa"/>
            </w:tcMar>
            <w:vAlign w:val="top"/>
          </w:tcPr>
          <w:p>
            <w:pPr>
              <w:pStyle w:val="BodyText"/>
              <w:spacing w:after="0"/>
            </w:pPr>
            <w:r>
              <w:rPr>
                <w:sz w:val="17"/>
              </w:rPr>
              <w:t>Contrôle citations, support documentaire, incohérences et règles éditoriales.</w:t>
            </w:r>
          </w:p>
        </w:tc>
        <w:tc>
          <w:tcPr>
            <w:tcW w:type="dxa" w:w="3324"/>
            <w:tcMar>
              <w:top w:w="110" w:type="dxa"/>
              <w:start w:w="110" w:type="dxa"/>
              <w:bottom w:w="110" w:type="dxa"/>
              <w:end w:w="110" w:type="dxa"/>
            </w:tcMar>
            <w:vAlign w:val="top"/>
          </w:tcPr>
          <w:p>
            <w:pPr>
              <w:pStyle w:val="BodyText"/>
              <w:spacing w:after="0"/>
            </w:pPr>
            <w:r>
              <w:rPr>
                <w:sz w:val="17"/>
              </w:rPr>
              <w:t>Réponse validée</w:t>
            </w:r>
          </w:p>
        </w:tc>
      </w:tr>
      <w:tr>
        <w:tc>
          <w:tcPr>
            <w:tcW w:type="dxa" w:w="3324"/>
            <w:tcMar>
              <w:top w:w="110" w:type="dxa"/>
              <w:start w:w="110" w:type="dxa"/>
              <w:bottom w:w="110" w:type="dxa"/>
              <w:end w:w="110" w:type="dxa"/>
            </w:tcMar>
            <w:vAlign w:val="top"/>
          </w:tcPr>
          <w:p>
            <w:pPr>
              <w:pStyle w:val="BodyText"/>
              <w:spacing w:after="0"/>
            </w:pPr>
            <w:r>
              <w:rPr>
                <w:sz w:val="17"/>
              </w:rPr>
              <w:t>7. TTS</w:t>
            </w:r>
          </w:p>
        </w:tc>
        <w:tc>
          <w:tcPr>
            <w:tcW w:type="dxa" w:w="3324"/>
            <w:tcMar>
              <w:top w:w="110" w:type="dxa"/>
              <w:start w:w="110" w:type="dxa"/>
              <w:bottom w:w="110" w:type="dxa"/>
              <w:end w:w="110" w:type="dxa"/>
            </w:tcMar>
            <w:vAlign w:val="top"/>
          </w:tcPr>
          <w:p>
            <w:pPr>
              <w:pStyle w:val="BodyText"/>
              <w:spacing w:after="0"/>
            </w:pPr>
            <w:r>
              <w:rPr>
                <w:sz w:val="17"/>
              </w:rPr>
              <w:t>Synthèse vocale avec rythme et prosodie contrôlés.</w:t>
            </w:r>
          </w:p>
        </w:tc>
        <w:tc>
          <w:tcPr>
            <w:tcW w:type="dxa" w:w="3324"/>
            <w:tcMar>
              <w:top w:w="110" w:type="dxa"/>
              <w:start w:w="110" w:type="dxa"/>
              <w:bottom w:w="110" w:type="dxa"/>
              <w:end w:w="110" w:type="dxa"/>
            </w:tcMar>
            <w:vAlign w:val="top"/>
          </w:tcPr>
          <w:p>
            <w:pPr>
              <w:pStyle w:val="BodyText"/>
              <w:spacing w:after="0"/>
            </w:pPr>
            <w:r>
              <w:rPr>
                <w:sz w:val="17"/>
              </w:rPr>
              <w:t>Audio</w:t>
            </w:r>
          </w:p>
        </w:tc>
      </w:tr>
      <w:tr>
        <w:tc>
          <w:tcPr>
            <w:tcW w:type="dxa" w:w="3324"/>
            <w:tcMar>
              <w:top w:w="110" w:type="dxa"/>
              <w:start w:w="110" w:type="dxa"/>
              <w:bottom w:w="110" w:type="dxa"/>
              <w:end w:w="110" w:type="dxa"/>
            </w:tcMar>
            <w:vAlign w:val="top"/>
          </w:tcPr>
          <w:p>
            <w:pPr>
              <w:pStyle w:val="BodyText"/>
              <w:spacing w:after="0"/>
            </w:pPr>
            <w:r>
              <w:rPr>
                <w:sz w:val="17"/>
              </w:rPr>
              <w:t>8. Animation</w:t>
            </w:r>
          </w:p>
        </w:tc>
        <w:tc>
          <w:tcPr>
            <w:tcW w:type="dxa" w:w="3324"/>
            <w:tcMar>
              <w:top w:w="110" w:type="dxa"/>
              <w:start w:w="110" w:type="dxa"/>
              <w:bottom w:w="110" w:type="dxa"/>
              <w:end w:w="110" w:type="dxa"/>
            </w:tcMar>
            <w:vAlign w:val="top"/>
          </w:tcPr>
          <w:p>
            <w:pPr>
              <w:pStyle w:val="BodyText"/>
              <w:spacing w:after="0"/>
            </w:pPr>
            <w:r>
              <w:rPr>
                <w:sz w:val="17"/>
              </w:rPr>
              <w:t>Lip-sync + expressions mappées sur états et prosodie.</w:t>
            </w:r>
          </w:p>
        </w:tc>
        <w:tc>
          <w:tcPr>
            <w:tcW w:type="dxa" w:w="3324"/>
            <w:tcMar>
              <w:top w:w="110" w:type="dxa"/>
              <w:start w:w="110" w:type="dxa"/>
              <w:bottom w:w="110" w:type="dxa"/>
              <w:end w:w="110" w:type="dxa"/>
            </w:tcMar>
            <w:vAlign w:val="top"/>
          </w:tcPr>
          <w:p>
            <w:pPr>
              <w:pStyle w:val="BodyText"/>
              <w:spacing w:after="0"/>
            </w:pPr>
            <w:r>
              <w:rPr>
                <w:sz w:val="17"/>
              </w:rPr>
              <w:t>Cues animation</w:t>
            </w:r>
          </w:p>
        </w:tc>
      </w:tr>
      <w:tr>
        <w:tc>
          <w:tcPr>
            <w:tcW w:type="dxa" w:w="3324"/>
            <w:tcMar>
              <w:top w:w="110" w:type="dxa"/>
              <w:start w:w="110" w:type="dxa"/>
              <w:bottom w:w="110" w:type="dxa"/>
              <w:end w:w="110" w:type="dxa"/>
            </w:tcMar>
            <w:vAlign w:val="top"/>
          </w:tcPr>
          <w:p>
            <w:pPr>
              <w:pStyle w:val="BodyText"/>
              <w:spacing w:after="0"/>
            </w:pPr>
            <w:r>
              <w:rPr>
                <w:sz w:val="17"/>
              </w:rPr>
              <w:t>9. Affichage</w:t>
            </w:r>
          </w:p>
        </w:tc>
        <w:tc>
          <w:tcPr>
            <w:tcW w:type="dxa" w:w="3324"/>
            <w:tcMar>
              <w:top w:w="110" w:type="dxa"/>
              <w:start w:w="110" w:type="dxa"/>
              <w:bottom w:w="110" w:type="dxa"/>
              <w:end w:w="110" w:type="dxa"/>
            </w:tcMar>
            <w:vAlign w:val="top"/>
          </w:tcPr>
          <w:p>
            <w:pPr>
              <w:pStyle w:val="BodyText"/>
              <w:spacing w:after="0"/>
            </w:pPr>
            <w:r>
              <w:rPr>
                <w:sz w:val="17"/>
              </w:rPr>
              <w:t>Application temps réel plein écran, veille, activation et sous-titres.</w:t>
            </w:r>
          </w:p>
        </w:tc>
        <w:tc>
          <w:tcPr>
            <w:tcW w:type="dxa" w:w="3324"/>
            <w:tcMar>
              <w:top w:w="110" w:type="dxa"/>
              <w:start w:w="110" w:type="dxa"/>
              <w:bottom w:w="110" w:type="dxa"/>
              <w:end w:w="110" w:type="dxa"/>
            </w:tcMar>
            <w:vAlign w:val="top"/>
          </w:tcPr>
          <w:p>
            <w:pPr>
              <w:pStyle w:val="BodyText"/>
              <w:spacing w:after="0"/>
            </w:pPr>
            <w:r>
              <w:rPr>
                <w:sz w:val="17"/>
              </w:rPr>
              <w:t>Portrait animé</w:t>
            </w:r>
          </w:p>
        </w:tc>
      </w:tr>
      <w:tr>
        <w:tc>
          <w:tcPr>
            <w:tcW w:type="dxa" w:w="3324"/>
            <w:tcMar>
              <w:top w:w="110" w:type="dxa"/>
              <w:start w:w="110" w:type="dxa"/>
              <w:bottom w:w="110" w:type="dxa"/>
              <w:end w:w="110" w:type="dxa"/>
            </w:tcMar>
            <w:vAlign w:val="top"/>
          </w:tcPr>
          <w:p>
            <w:pPr>
              <w:pStyle w:val="BodyText"/>
              <w:spacing w:after="0"/>
            </w:pPr>
            <w:r>
              <w:rPr>
                <w:sz w:val="17"/>
              </w:rPr>
              <w:t>10. Supervision</w:t>
            </w:r>
          </w:p>
        </w:tc>
        <w:tc>
          <w:tcPr>
            <w:tcW w:type="dxa" w:w="3324"/>
            <w:tcMar>
              <w:top w:w="110" w:type="dxa"/>
              <w:start w:w="110" w:type="dxa"/>
              <w:bottom w:w="110" w:type="dxa"/>
              <w:end w:w="110" w:type="dxa"/>
            </w:tcMar>
            <w:vAlign w:val="top"/>
          </w:tcPr>
          <w:p>
            <w:pPr>
              <w:pStyle w:val="BodyText"/>
              <w:spacing w:after="0"/>
            </w:pPr>
            <w:r>
              <w:rPr>
                <w:sz w:val="17"/>
              </w:rPr>
              <w:t>Reset, logs techniques, statut services, métriques anonymes.</w:t>
            </w:r>
          </w:p>
        </w:tc>
        <w:tc>
          <w:tcPr>
            <w:tcW w:type="dxa" w:w="3324"/>
            <w:tcMar>
              <w:top w:w="110" w:type="dxa"/>
              <w:start w:w="110" w:type="dxa"/>
              <w:bottom w:w="110" w:type="dxa"/>
              <w:end w:w="110" w:type="dxa"/>
            </w:tcMar>
            <w:vAlign w:val="top"/>
          </w:tcPr>
          <w:p>
            <w:pPr>
              <w:pStyle w:val="BodyText"/>
              <w:spacing w:after="0"/>
            </w:pPr>
            <w:r>
              <w:rPr>
                <w:sz w:val="17"/>
              </w:rPr>
              <w:t>Maintenance</w:t>
            </w:r>
          </w:p>
        </w:tc>
      </w:tr>
    </w:tbl>
    <w:p/>
    <w:p>
      <w:pPr>
        <w:pStyle w:val="Heading1"/>
        <w:keepNext/>
        <w:pBdr>
          <w:bottom w:val="single" w:sz="10" w:space="1" w:color="8C3B3B"/>
        </w:pBdr>
        <w:spacing w:before="180" w:after="100"/>
      </w:pPr>
      <w:r>
        <w:t>13. Schéma logique</w:t>
      </w:r>
    </w:p>
    <w:p>
      <w:pPr>
        <w:pStyle w:val="Lead"/>
        <w:jc w:val="center"/>
      </w:pPr>
      <w:r>
        <w:t>Visiteur → Audio → Transcription → Recherche documentaire → Moteur dramaturgique + LLM → Vérification → Voix → Animation → Portrait</w:t>
      </w:r>
    </w:p>
    <w:p>
      <w:pPr>
        <w:pStyle w:val="ListBullet"/>
      </w:pPr>
      <w:r>
        <w:t>Le LLM n’est jamais la seule source de vérité : il formule à partir de passages documentaires récupérés et de règles explicites.</w:t>
      </w:r>
    </w:p>
    <w:p>
      <w:pPr>
        <w:pStyle w:val="ListBullet"/>
      </w:pPr>
      <w:r>
        <w:t>L’état dramaturgique est stocké séparément du texte généré.</w:t>
      </w:r>
    </w:p>
    <w:p>
      <w:pPr>
        <w:pStyle w:val="ListBullet"/>
      </w:pPr>
      <w:r>
        <w:t>Le LLM ne génère pas librement des animations : il retourne des marqueurs structurés mappés vers des animations validées.</w:t>
      </w:r>
    </w:p>
    <w:p>
      <w:pPr>
        <w:pStyle w:val="ListBullet"/>
      </w:pPr>
      <w:r>
        <w:t>Une interface opérateur permet reset, mute, diagnostic, mode démonstration et consultation des erreurs.</w:t>
      </w:r>
    </w:p>
    <w:p>
      <w:pPr>
        <w:pStyle w:val="Heading1"/>
        <w:keepNext/>
        <w:pBdr>
          <w:bottom w:val="single" w:sz="10" w:space="1" w:color="8C3B3B"/>
        </w:pBdr>
        <w:spacing w:before="180" w:after="100"/>
      </w:pPr>
      <w:r>
        <w:t>14. Format de réponse interne proposé</w:t>
      </w:r>
    </w:p>
    <w:p>
      <w:pPr>
        <w:pStyle w:val="BodyText"/>
      </w:pPr>
      <w:r>
        <w:t>Le moteur renvoie un objet structuré afin de séparer parole, sources, évolution dramaturgique et animation :</w:t>
      </w:r>
    </w:p>
    <w:tbl>
      <w:tblPr>
        <w:tblStyle w:val="TableGrid"/>
        <w:tblW w:type="auto" w:w="0"/>
        <w:tblLook w:firstColumn="1" w:firstRow="1" w:lastColumn="0" w:lastRow="0" w:noHBand="0" w:noVBand="1" w:val="04A0"/>
      </w:tblPr>
      <w:tblGrid>
        <w:gridCol w:w="9972"/>
      </w:tblGrid>
      <w:tr>
        <w:tc>
          <w:tcPr>
            <w:tcW w:type="dxa" w:w="9972"/>
            <w:shd w:fill="F5F5F5"/>
            <w:tcMar>
              <w:top w:w="150" w:type="dxa"/>
              <w:start w:w="150" w:type="dxa"/>
              <w:bottom w:w="150" w:type="dxa"/>
              <w:end w:w="150" w:type="dxa"/>
            </w:tcMar>
          </w:tcPr>
          <w:p>
            <w:r>
              <w:rPr>
                <w:rFonts w:ascii="Courier New" w:hAnsi="Courier New"/>
                <w:sz w:val="17"/>
              </w:rPr>
              <w:t>{</w:t>
              <w:br/>
              <w:t xml:space="preserve">  "speech": "…",</w:t>
              <w:br/>
              <w:t xml:space="preserve">  "stance": "defense | contradiction | irritation | fissure",</w:t>
              <w:br/>
              <w:t xml:space="preserve">  "source_ids": ["SRC-…"],</w:t>
              <w:br/>
              <w:t xml:space="preserve">  "dramatic_delta": {"pressure": 1, "fissure": 0.2},</w:t>
              <w:br/>
              <w:t xml:space="preserve">  "animation_cues": ["break_eye_contact", "pause_long"],</w:t>
              <w:br/>
              <w:t xml:space="preserve">  "needs_verification": false</w:t>
              <w:br/>
              <w:t>}</w:t>
            </w:r>
          </w:p>
        </w:tc>
      </w:tr>
    </w:tbl>
    <w:p>
      <w:pPr>
        <w:pStyle w:val="BodyText"/>
      </w:pPr>
    </w:p>
    <w:p>
      <w:pPr>
        <w:pStyle w:val="Heading1"/>
        <w:keepNext/>
        <w:pBdr>
          <w:bottom w:val="single" w:sz="10" w:space="1" w:color="8C3B3B"/>
        </w:pBdr>
        <w:spacing w:before="180" w:after="100"/>
      </w:pPr>
      <w:r>
        <w:t>15. Règles du moteur conversationnel</w:t>
      </w:r>
    </w:p>
    <w:p>
      <w:pPr>
        <w:pStyle w:val="ListBullet"/>
      </w:pPr>
      <w:r>
        <w:t>Répondre en personnage lorsque la question relève du pouvoir, des décisions, des actes ou du contexte traité par l’œuvre.</w:t>
      </w:r>
    </w:p>
    <w:p>
      <w:pPr>
        <w:pStyle w:val="ListBullet"/>
      </w:pPr>
      <w:r>
        <w:t>Ne jamais prétendre à des souvenirs personnels non documentés.</w:t>
      </w:r>
    </w:p>
    <w:p>
      <w:pPr>
        <w:pStyle w:val="ListBullet"/>
      </w:pPr>
      <w:r>
        <w:t>Ne jamais inventer citations, chiffres, documents ou événements pour rendre la réponse plus convaincante.</w:t>
      </w:r>
    </w:p>
    <w:p>
      <w:pPr>
        <w:pStyle w:val="ListBullet"/>
      </w:pPr>
      <w:r>
        <w:t>Autoriser esquive, rationalisation et défense, mais pas la modification des faits fournis par la couche documentaire.</w:t>
      </w:r>
    </w:p>
    <w:p>
      <w:pPr>
        <w:pStyle w:val="ListBullet"/>
      </w:pPr>
      <w:r>
        <w:t>Lorsqu’une contradiction est suffisamment étayée, augmenter la pression dramaturgique plutôt que remplacer la réponse par une correction encyclopédique.</w:t>
      </w:r>
    </w:p>
    <w:p>
      <w:pPr>
        <w:pStyle w:val="ListBullet"/>
      </w:pPr>
      <w:r>
        <w:t>Réponses orales courtes : cible 15 à 45 secondes.</w:t>
      </w:r>
    </w:p>
    <w:p>
      <w:pPr>
        <w:pStyle w:val="ListBullet"/>
      </w:pPr>
      <w:r>
        <w:t>Après plusieurs échanges sur un même point, faire évoluer le comportement et éviter les boucles.</w:t>
      </w:r>
    </w:p>
    <w:p>
      <w:pPr>
        <w:pStyle w:val="ListBullet"/>
      </w:pPr>
      <w:r>
        <w:t>Mémoire de session courte, effacée entre visiteurs.</w:t>
      </w:r>
    </w:p>
    <w:p>
      <w:pPr>
        <w:pStyle w:val="Heading1"/>
        <w:keepNext/>
        <w:pBdr>
          <w:bottom w:val="single" w:sz="10" w:space="1" w:color="8C3B3B"/>
        </w:pBdr>
        <w:spacing w:before="180" w:after="100"/>
      </w:pPr>
      <w:r>
        <w:t>16. Voix et incarnation</w:t>
      </w:r>
    </w:p>
    <w:tbl>
      <w:tblPr>
        <w:tblW w:type="auto" w:w="0"/>
        <w:jc w:val="center"/>
        <w:tblLook w:firstColumn="1" w:firstRow="1" w:lastColumn="0" w:lastRow="0" w:noHBand="0" w:noVBand="1" w:val="04A0"/>
      </w:tblPr>
      <w:tblGrid>
        <w:gridCol w:w="9972"/>
      </w:tblGrid>
      <w:tr>
        <w:tc>
          <w:tcPr>
            <w:tcW w:type="dxa" w:w="9972"/>
            <w:shd w:fill="F3EFEA"/>
            <w:tcMar>
              <w:top w:w="160" w:type="dxa"/>
              <w:start w:w="160" w:type="dxa"/>
              <w:bottom w:w="160" w:type="dxa"/>
              <w:end w:w="160" w:type="dxa"/>
            </w:tcMar>
          </w:tcPr>
          <w:p>
            <w:r>
              <w:rPr>
                <w:b/>
                <w:color w:val="7B2626"/>
                <w:sz w:val="17"/>
              </w:rPr>
              <w:t>DÉVELOPPEMENT PROPOSÉ</w:t>
            </w:r>
          </w:p>
          <w:p>
            <w:pPr>
              <w:pStyle w:val="BodyText"/>
            </w:pPr>
            <w:r>
              <w:t>La source prévoit une voix de synthèse. Le choix final doit être traité comme une interprétation artistique et juridique, pas comme la restitution supposée d’une voix authentique.</w:t>
            </w:r>
          </w:p>
        </w:tc>
      </w:tr>
    </w:tbl>
    <w:p/>
    <w:p>
      <w:pPr>
        <w:pStyle w:val="ListBullet"/>
      </w:pPr>
      <w:r>
        <w:t>Voix française claire, autoritaire sans caricature excessive.</w:t>
      </w:r>
    </w:p>
    <w:p>
      <w:pPr>
        <w:pStyle w:val="ListBullet"/>
      </w:pPr>
      <w:r>
        <w:t>Rythme initial lent et maîtrisé ; silences ou accélérations lors des phases de tension.</w:t>
      </w:r>
    </w:p>
    <w:p>
      <w:pPr>
        <w:pStyle w:val="ListBullet"/>
      </w:pPr>
      <w:r>
        <w:t>Ne pas présenter la voix comme historiquement authentique sans base fiable.</w:t>
      </w:r>
    </w:p>
    <w:p>
      <w:pPr>
        <w:pStyle w:val="ListBullet"/>
      </w:pPr>
      <w:r>
        <w:t>Le timbre, la diction et l’accent sont assumés comme interprétation artistique.</w:t>
      </w:r>
    </w:p>
    <w:p>
      <w:pPr>
        <w:pStyle w:val="ListBullet"/>
      </w:pPr>
      <w:r>
        <w:t>Sous-titrage activable et mode texte prévus dès la conception.</w:t>
      </w:r>
    </w:p>
    <w:p>
      <w:pPr>
        <w:pStyle w:val="Heading1"/>
        <w:keepNext/>
        <w:pBdr>
          <w:bottom w:val="single" w:sz="10" w:space="1" w:color="8C3B3B"/>
        </w:pBdr>
        <w:spacing w:before="180" w:after="100"/>
      </w:pPr>
      <w:r>
        <w:t>17. Cadre critique, éthique et éditorial</w:t>
      </w:r>
    </w:p>
    <w:p>
      <w:pPr>
        <w:pStyle w:val="ListBullet"/>
      </w:pPr>
      <w:r>
        <w:t>Le dispositif signale clairement qu’il s’agit d’une reconstruction artificielle fondée sur un corpus.</w:t>
      </w:r>
    </w:p>
    <w:p>
      <w:pPr>
        <w:pStyle w:val="ListBullet"/>
      </w:pPr>
      <w:r>
        <w:t>Le personnage peut mettre en scène des mécanismes de justification ; l’installation ne les présente jamais comme validés par le système.</w:t>
      </w:r>
    </w:p>
    <w:p>
      <w:pPr>
        <w:pStyle w:val="ListBullet"/>
      </w:pPr>
      <w:r>
        <w:t>Les violences coloniales ne deviennent ni effet spectaculaire ni mécanique de gamification.</w:t>
      </w:r>
    </w:p>
    <w:p>
      <w:pPr>
        <w:pStyle w:val="ListBullet"/>
      </w:pPr>
      <w:r>
        <w:t>Le corpus intègre des perspectives congolaises et des approches critiques afin que Léopold II ne monopolise pas la construction du sens.</w:t>
      </w:r>
    </w:p>
    <w:p>
      <w:pPr>
        <w:pStyle w:val="ListBullet"/>
      </w:pPr>
      <w:r>
        <w:t>Toute affirmation factuelle importante doit être rattachable à une source ou à une synthèse éditoriale documentée.</w:t>
      </w:r>
    </w:p>
    <w:p>
      <w:pPr>
        <w:pStyle w:val="ListBullet"/>
      </w:pPr>
      <w:r>
        <w:t>Un cartel, un dossier pédagogique ou un accès aux sources peut accompagner les contextes scolaires et institutionnels.</w:t>
      </w:r>
    </w:p>
    <w:p>
      <w:pPr>
        <w:pStyle w:val="Heading1"/>
        <w:keepNext/>
        <w:pBdr>
          <w:bottom w:val="single" w:sz="10" w:space="1" w:color="8C3B3B"/>
        </w:pBdr>
        <w:spacing w:before="180" w:after="100"/>
      </w:pPr>
      <w:r>
        <w:t>18. Données et confidentialité</w:t>
      </w:r>
    </w:p>
    <w:p>
      <w:pPr>
        <w:pStyle w:val="ListBullet"/>
      </w:pPr>
      <w:r>
        <w:t>Pas d’enregistrement audio ou vidéo des visiteurs par défaut.</w:t>
      </w:r>
    </w:p>
    <w:p>
      <w:pPr>
        <w:pStyle w:val="ListBullet"/>
      </w:pPr>
      <w:r>
        <w:t>Transcription conservée uniquement en mémoire pendant la session puis supprimée.</w:t>
      </w:r>
    </w:p>
    <w:p>
      <w:pPr>
        <w:pStyle w:val="ListBullet"/>
      </w:pPr>
      <w:r>
        <w:t>Métriques limitées aux données techniques et agrégées réellement utiles.</w:t>
      </w:r>
    </w:p>
    <w:p>
      <w:pPr>
        <w:pStyle w:val="ListBullet"/>
      </w:pPr>
      <w:r>
        <w:t>Toute conservation de conversation à des fins de recherche nécessite information claire, consentement et anonymisation.</w:t>
      </w:r>
    </w:p>
    <w:p>
      <w:pPr>
        <w:pStyle w:val="ListBullet"/>
      </w:pPr>
      <w:r>
        <w:t>Prévoir un mode local/offline lorsque le lieu ou la confidentialité l’exige.</w:t>
      </w:r>
    </w:p>
    <w:p>
      <w:pPr>
        <w:pStyle w:val="Heading1"/>
        <w:keepNext/>
        <w:pBdr>
          <w:bottom w:val="single" w:sz="10" w:space="1" w:color="8C3B3B"/>
        </w:pBdr>
        <w:spacing w:before="180" w:after="100"/>
      </w:pPr>
      <w:r>
        <w:t>19. Dispositif matériel proposé</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fill="2B2B2B"/>
            <w:tcMar>
              <w:top w:w="110" w:type="dxa"/>
              <w:start w:w="110" w:type="dxa"/>
              <w:bottom w:w="110" w:type="dxa"/>
              <w:end w:w="110" w:type="dxa"/>
            </w:tcMar>
          </w:tcPr>
          <w:p>
            <w:r>
              <w:rPr>
                <w:b/>
                <w:color w:val="FFFFFF"/>
                <w:sz w:val="17"/>
              </w:rPr>
              <w:t>Composant</w:t>
            </w:r>
          </w:p>
        </w:tc>
        <w:tc>
          <w:tcPr>
            <w:tcW w:type="dxa" w:w="3324"/>
            <w:shd w:fill="2B2B2B"/>
            <w:tcMar>
              <w:top w:w="110" w:type="dxa"/>
              <w:start w:w="110" w:type="dxa"/>
              <w:bottom w:w="110" w:type="dxa"/>
              <w:end w:w="110" w:type="dxa"/>
            </w:tcMar>
          </w:tcPr>
          <w:p>
            <w:r>
              <w:rPr>
                <w:b/>
                <w:color w:val="FFFFFF"/>
                <w:sz w:val="17"/>
              </w:rPr>
              <w:t>MVP / prototype</w:t>
            </w:r>
          </w:p>
        </w:tc>
        <w:tc>
          <w:tcPr>
            <w:tcW w:type="dxa" w:w="3324"/>
            <w:shd w:fill="2B2B2B"/>
            <w:tcMar>
              <w:top w:w="110" w:type="dxa"/>
              <w:start w:w="110" w:type="dxa"/>
              <w:bottom w:w="110" w:type="dxa"/>
              <w:end w:w="110" w:type="dxa"/>
            </w:tcMar>
          </w:tcPr>
          <w:p>
            <w:r>
              <w:rPr>
                <w:b/>
                <w:color w:val="FFFFFF"/>
                <w:sz w:val="17"/>
              </w:rPr>
              <w:t>Version exposition</w:t>
            </w:r>
          </w:p>
        </w:tc>
      </w:tr>
      <w:tr>
        <w:tc>
          <w:tcPr>
            <w:tcW w:type="dxa" w:w="3324"/>
            <w:tcMar>
              <w:top w:w="110" w:type="dxa"/>
              <w:start w:w="110" w:type="dxa"/>
              <w:bottom w:w="110" w:type="dxa"/>
              <w:end w:w="110" w:type="dxa"/>
            </w:tcMar>
            <w:vAlign w:val="top"/>
          </w:tcPr>
          <w:p>
            <w:pPr>
              <w:pStyle w:val="BodyText"/>
              <w:spacing w:after="0"/>
            </w:pPr>
            <w:r>
              <w:rPr>
                <w:sz w:val="17"/>
              </w:rPr>
              <w:t>Affichage</w:t>
            </w:r>
          </w:p>
        </w:tc>
        <w:tc>
          <w:tcPr>
            <w:tcW w:type="dxa" w:w="3324"/>
            <w:tcMar>
              <w:top w:w="110" w:type="dxa"/>
              <w:start w:w="110" w:type="dxa"/>
              <w:bottom w:w="110" w:type="dxa"/>
              <w:end w:w="110" w:type="dxa"/>
            </w:tcMar>
            <w:vAlign w:val="top"/>
          </w:tcPr>
          <w:p>
            <w:pPr>
              <w:pStyle w:val="BodyText"/>
              <w:spacing w:after="0"/>
            </w:pPr>
            <w:r>
              <w:rPr>
                <w:sz w:val="17"/>
              </w:rPr>
              <w:t>Écran vertical 27–32" derrière un cadre.</w:t>
            </w:r>
          </w:p>
        </w:tc>
        <w:tc>
          <w:tcPr>
            <w:tcW w:type="dxa" w:w="3324"/>
            <w:tcMar>
              <w:top w:w="110" w:type="dxa"/>
              <w:start w:w="110" w:type="dxa"/>
              <w:bottom w:w="110" w:type="dxa"/>
              <w:end w:w="110" w:type="dxa"/>
            </w:tcMar>
            <w:vAlign w:val="top"/>
          </w:tcPr>
          <w:p>
            <w:pPr>
              <w:pStyle w:val="BodyText"/>
              <w:spacing w:after="0"/>
            </w:pPr>
            <w:r>
              <w:rPr>
                <w:sz w:val="17"/>
              </w:rPr>
              <w:t>Écran 4K vertical intégré au cadre, luminosité et surface adaptées.</w:t>
            </w:r>
          </w:p>
        </w:tc>
      </w:tr>
      <w:tr>
        <w:tc>
          <w:tcPr>
            <w:tcW w:type="dxa" w:w="3324"/>
            <w:tcMar>
              <w:top w:w="110" w:type="dxa"/>
              <w:start w:w="110" w:type="dxa"/>
              <w:bottom w:w="110" w:type="dxa"/>
              <w:end w:w="110" w:type="dxa"/>
            </w:tcMar>
            <w:vAlign w:val="top"/>
          </w:tcPr>
          <w:p>
            <w:pPr>
              <w:pStyle w:val="BodyText"/>
              <w:spacing w:after="0"/>
            </w:pPr>
            <w:r>
              <w:rPr>
                <w:sz w:val="17"/>
              </w:rPr>
              <w:t>Calcul</w:t>
            </w:r>
          </w:p>
        </w:tc>
        <w:tc>
          <w:tcPr>
            <w:tcW w:type="dxa" w:w="3324"/>
            <w:tcMar>
              <w:top w:w="110" w:type="dxa"/>
              <w:start w:w="110" w:type="dxa"/>
              <w:bottom w:w="110" w:type="dxa"/>
              <w:end w:w="110" w:type="dxa"/>
            </w:tcMar>
            <w:vAlign w:val="top"/>
          </w:tcPr>
          <w:p>
            <w:pPr>
              <w:pStyle w:val="BodyText"/>
              <w:spacing w:after="0"/>
            </w:pPr>
            <w:r>
              <w:rPr>
                <w:sz w:val="17"/>
              </w:rPr>
              <w:t>PC compact avec GPU ou workstation existante.</w:t>
            </w:r>
          </w:p>
        </w:tc>
        <w:tc>
          <w:tcPr>
            <w:tcW w:type="dxa" w:w="3324"/>
            <w:tcMar>
              <w:top w:w="110" w:type="dxa"/>
              <w:start w:w="110" w:type="dxa"/>
              <w:bottom w:w="110" w:type="dxa"/>
              <w:end w:w="110" w:type="dxa"/>
            </w:tcMar>
            <w:vAlign w:val="top"/>
          </w:tcPr>
          <w:p>
            <w:pPr>
              <w:pStyle w:val="BodyText"/>
              <w:spacing w:after="0"/>
            </w:pPr>
            <w:r>
              <w:rPr>
                <w:sz w:val="17"/>
              </w:rPr>
              <w:t>Workstation dédiée ; GPU adapté à animation et éventuel LLM local.</w:t>
            </w:r>
          </w:p>
        </w:tc>
      </w:tr>
      <w:tr>
        <w:tc>
          <w:tcPr>
            <w:tcW w:type="dxa" w:w="3324"/>
            <w:tcMar>
              <w:top w:w="110" w:type="dxa"/>
              <w:start w:w="110" w:type="dxa"/>
              <w:bottom w:w="110" w:type="dxa"/>
              <w:end w:w="110" w:type="dxa"/>
            </w:tcMar>
            <w:vAlign w:val="top"/>
          </w:tcPr>
          <w:p>
            <w:pPr>
              <w:pStyle w:val="BodyText"/>
              <w:spacing w:after="0"/>
            </w:pPr>
            <w:r>
              <w:rPr>
                <w:sz w:val="17"/>
              </w:rPr>
              <w:t>Micro</w:t>
            </w:r>
          </w:p>
        </w:tc>
        <w:tc>
          <w:tcPr>
            <w:tcW w:type="dxa" w:w="3324"/>
            <w:tcMar>
              <w:top w:w="110" w:type="dxa"/>
              <w:start w:w="110" w:type="dxa"/>
              <w:bottom w:w="110" w:type="dxa"/>
              <w:end w:w="110" w:type="dxa"/>
            </w:tcMar>
            <w:vAlign w:val="top"/>
          </w:tcPr>
          <w:p>
            <w:pPr>
              <w:pStyle w:val="BodyText"/>
              <w:spacing w:after="0"/>
            </w:pPr>
            <w:r>
              <w:rPr>
                <w:sz w:val="17"/>
              </w:rPr>
              <w:t>Micro USB directionnel.</w:t>
            </w:r>
          </w:p>
        </w:tc>
        <w:tc>
          <w:tcPr>
            <w:tcW w:type="dxa" w:w="3324"/>
            <w:tcMar>
              <w:top w:w="110" w:type="dxa"/>
              <w:start w:w="110" w:type="dxa"/>
              <w:bottom w:w="110" w:type="dxa"/>
              <w:end w:w="110" w:type="dxa"/>
            </w:tcMar>
            <w:vAlign w:val="top"/>
          </w:tcPr>
          <w:p>
            <w:pPr>
              <w:pStyle w:val="BodyText"/>
              <w:spacing w:after="0"/>
            </w:pPr>
            <w:r>
              <w:rPr>
                <w:sz w:val="17"/>
              </w:rPr>
              <w:t>Micro array/directionnel intégré avec traitement du bruit.</w:t>
            </w:r>
          </w:p>
        </w:tc>
      </w:tr>
      <w:tr>
        <w:tc>
          <w:tcPr>
            <w:tcW w:type="dxa" w:w="3324"/>
            <w:tcMar>
              <w:top w:w="110" w:type="dxa"/>
              <w:start w:w="110" w:type="dxa"/>
              <w:bottom w:w="110" w:type="dxa"/>
              <w:end w:w="110" w:type="dxa"/>
            </w:tcMar>
            <w:vAlign w:val="top"/>
          </w:tcPr>
          <w:p>
            <w:pPr>
              <w:pStyle w:val="BodyText"/>
              <w:spacing w:after="0"/>
            </w:pPr>
            <w:r>
              <w:rPr>
                <w:sz w:val="17"/>
              </w:rPr>
              <w:t>Audio</w:t>
            </w:r>
          </w:p>
        </w:tc>
        <w:tc>
          <w:tcPr>
            <w:tcW w:type="dxa" w:w="3324"/>
            <w:tcMar>
              <w:top w:w="110" w:type="dxa"/>
              <w:start w:w="110" w:type="dxa"/>
              <w:bottom w:w="110" w:type="dxa"/>
              <w:end w:w="110" w:type="dxa"/>
            </w:tcMar>
            <w:vAlign w:val="top"/>
          </w:tcPr>
          <w:p>
            <w:pPr>
              <w:pStyle w:val="BodyText"/>
              <w:spacing w:after="0"/>
            </w:pPr>
            <w:r>
              <w:rPr>
                <w:sz w:val="17"/>
              </w:rPr>
              <w:t>Enceinte discrète.</w:t>
            </w:r>
          </w:p>
        </w:tc>
        <w:tc>
          <w:tcPr>
            <w:tcW w:type="dxa" w:w="3324"/>
            <w:tcMar>
              <w:top w:w="110" w:type="dxa"/>
              <w:start w:w="110" w:type="dxa"/>
              <w:bottom w:w="110" w:type="dxa"/>
              <w:end w:w="110" w:type="dxa"/>
            </w:tcMar>
            <w:vAlign w:val="top"/>
          </w:tcPr>
          <w:p>
            <w:pPr>
              <w:pStyle w:val="BodyText"/>
              <w:spacing w:after="0"/>
            </w:pPr>
            <w:r>
              <w:rPr>
                <w:sz w:val="17"/>
              </w:rPr>
              <w:t>Audio localisé ou enceinte intégrée au cadre.</w:t>
            </w:r>
          </w:p>
        </w:tc>
      </w:tr>
      <w:tr>
        <w:tc>
          <w:tcPr>
            <w:tcW w:type="dxa" w:w="3324"/>
            <w:tcMar>
              <w:top w:w="110" w:type="dxa"/>
              <w:start w:w="110" w:type="dxa"/>
              <w:bottom w:w="110" w:type="dxa"/>
              <w:end w:w="110" w:type="dxa"/>
            </w:tcMar>
            <w:vAlign w:val="top"/>
          </w:tcPr>
          <w:p>
            <w:pPr>
              <w:pStyle w:val="BodyText"/>
              <w:spacing w:after="0"/>
            </w:pPr>
            <w:r>
              <w:rPr>
                <w:sz w:val="17"/>
              </w:rPr>
              <w:t>Présence</w:t>
            </w:r>
          </w:p>
        </w:tc>
        <w:tc>
          <w:tcPr>
            <w:tcW w:type="dxa" w:w="3324"/>
            <w:tcMar>
              <w:top w:w="110" w:type="dxa"/>
              <w:start w:w="110" w:type="dxa"/>
              <w:bottom w:w="110" w:type="dxa"/>
              <w:end w:w="110" w:type="dxa"/>
            </w:tcMar>
            <w:vAlign w:val="top"/>
          </w:tcPr>
          <w:p>
            <w:pPr>
              <w:pStyle w:val="BodyText"/>
              <w:spacing w:after="0"/>
            </w:pPr>
            <w:r>
              <w:rPr>
                <w:sz w:val="17"/>
              </w:rPr>
              <w:t>Déclenchement manuel ou capteur simple.</w:t>
            </w:r>
          </w:p>
        </w:tc>
        <w:tc>
          <w:tcPr>
            <w:tcW w:type="dxa" w:w="3324"/>
            <w:tcMar>
              <w:top w:w="110" w:type="dxa"/>
              <w:start w:w="110" w:type="dxa"/>
              <w:bottom w:w="110" w:type="dxa"/>
              <w:end w:w="110" w:type="dxa"/>
            </w:tcMar>
            <w:vAlign w:val="top"/>
          </w:tcPr>
          <w:p>
            <w:pPr>
              <w:pStyle w:val="BodyText"/>
              <w:spacing w:after="0"/>
            </w:pPr>
            <w:r>
              <w:rPr>
                <w:sz w:val="17"/>
              </w:rPr>
              <w:t>Capteur de distance/présence dédié sans enregistrement.</w:t>
            </w:r>
          </w:p>
        </w:tc>
      </w:tr>
      <w:tr>
        <w:tc>
          <w:tcPr>
            <w:tcW w:type="dxa" w:w="3324"/>
            <w:tcMar>
              <w:top w:w="110" w:type="dxa"/>
              <w:start w:w="110" w:type="dxa"/>
              <w:bottom w:w="110" w:type="dxa"/>
              <w:end w:w="110" w:type="dxa"/>
            </w:tcMar>
            <w:vAlign w:val="top"/>
          </w:tcPr>
          <w:p>
            <w:pPr>
              <w:pStyle w:val="BodyText"/>
              <w:spacing w:after="0"/>
            </w:pPr>
            <w:r>
              <w:rPr>
                <w:sz w:val="17"/>
              </w:rPr>
              <w:t>Interface opérateur</w:t>
            </w:r>
          </w:p>
        </w:tc>
        <w:tc>
          <w:tcPr>
            <w:tcW w:type="dxa" w:w="3324"/>
            <w:tcMar>
              <w:top w:w="110" w:type="dxa"/>
              <w:start w:w="110" w:type="dxa"/>
              <w:bottom w:w="110" w:type="dxa"/>
              <w:end w:w="110" w:type="dxa"/>
            </w:tcMar>
            <w:vAlign w:val="top"/>
          </w:tcPr>
          <w:p>
            <w:pPr>
              <w:pStyle w:val="BodyText"/>
              <w:spacing w:after="0"/>
            </w:pPr>
            <w:r>
              <w:rPr>
                <w:sz w:val="17"/>
              </w:rPr>
              <w:t>Clavier et bouton reset.</w:t>
            </w:r>
          </w:p>
        </w:tc>
        <w:tc>
          <w:tcPr>
            <w:tcW w:type="dxa" w:w="3324"/>
            <w:tcMar>
              <w:top w:w="110" w:type="dxa"/>
              <w:start w:w="110" w:type="dxa"/>
              <w:bottom w:w="110" w:type="dxa"/>
              <w:end w:w="110" w:type="dxa"/>
            </w:tcMar>
            <w:vAlign w:val="top"/>
          </w:tcPr>
          <w:p>
            <w:pPr>
              <w:pStyle w:val="BodyText"/>
              <w:spacing w:after="0"/>
            </w:pPr>
            <w:r>
              <w:rPr>
                <w:sz w:val="17"/>
              </w:rPr>
              <w:t>Interface maintenance sécurisée séparée.</w:t>
            </w:r>
          </w:p>
        </w:tc>
      </w:tr>
      <w:tr>
        <w:tc>
          <w:tcPr>
            <w:tcW w:type="dxa" w:w="3324"/>
            <w:tcMar>
              <w:top w:w="110" w:type="dxa"/>
              <w:start w:w="110" w:type="dxa"/>
              <w:bottom w:w="110" w:type="dxa"/>
              <w:end w:w="110" w:type="dxa"/>
            </w:tcMar>
            <w:vAlign w:val="top"/>
          </w:tcPr>
          <w:p>
            <w:pPr>
              <w:pStyle w:val="BodyText"/>
              <w:spacing w:after="0"/>
            </w:pPr>
            <w:r>
              <w:rPr>
                <w:sz w:val="17"/>
              </w:rPr>
              <w:t>Réseau</w:t>
            </w:r>
          </w:p>
        </w:tc>
        <w:tc>
          <w:tcPr>
            <w:tcW w:type="dxa" w:w="3324"/>
            <w:tcMar>
              <w:top w:w="110" w:type="dxa"/>
              <w:start w:w="110" w:type="dxa"/>
              <w:bottom w:w="110" w:type="dxa"/>
              <w:end w:w="110" w:type="dxa"/>
            </w:tcMar>
            <w:vAlign w:val="top"/>
          </w:tcPr>
          <w:p>
            <w:pPr>
              <w:pStyle w:val="BodyText"/>
              <w:spacing w:after="0"/>
            </w:pPr>
            <w:r>
              <w:rPr>
                <w:sz w:val="17"/>
              </w:rPr>
              <w:t>Internet accepté pour services IA.</w:t>
            </w:r>
          </w:p>
        </w:tc>
        <w:tc>
          <w:tcPr>
            <w:tcW w:type="dxa" w:w="3324"/>
            <w:tcMar>
              <w:top w:w="110" w:type="dxa"/>
              <w:start w:w="110" w:type="dxa"/>
              <w:bottom w:w="110" w:type="dxa"/>
              <w:end w:w="110" w:type="dxa"/>
            </w:tcMar>
            <w:vAlign w:val="top"/>
          </w:tcPr>
          <w:p>
            <w:pPr>
              <w:pStyle w:val="BodyText"/>
              <w:spacing w:after="0"/>
            </w:pPr>
            <w:r>
              <w:rPr>
                <w:sz w:val="17"/>
              </w:rPr>
              <w:t>Architecture hybride/locale avec fallback en cas de panne.</w:t>
            </w:r>
          </w:p>
        </w:tc>
      </w:tr>
    </w:tbl>
    <w:p/>
    <w:p>
      <w:pPr>
        <w:pStyle w:val="Heading1"/>
        <w:keepNext/>
        <w:pBdr>
          <w:bottom w:val="single" w:sz="10" w:space="1" w:color="8C3B3B"/>
        </w:pBdr>
        <w:spacing w:before="180" w:after="100"/>
      </w:pPr>
      <w:r>
        <w:t>20. MVP artistique et technique</w:t>
      </w:r>
    </w:p>
    <w:p>
      <w:pPr>
        <w:pStyle w:val="BodyText"/>
      </w:pPr>
      <w:r>
        <w:rPr>
          <w:b/>
        </w:rPr>
        <w:t xml:space="preserve">Objectif : </w:t>
      </w:r>
      <w:r>
        <w:t>valider l’expérience de confrontation avant d’investir dans une animation ou une scénographie lourde.</w:t>
      </w:r>
    </w:p>
    <w:p>
      <w:pPr>
        <w:pStyle w:val="ListBullet"/>
      </w:pPr>
      <w:r>
        <w:t>Portrait animé avec 4 états : repos, écoute, parole, tension.</w:t>
      </w:r>
    </w:p>
    <w:p>
      <w:pPr>
        <w:pStyle w:val="ListBullet"/>
      </w:pPr>
      <w:r>
        <w:t>Interaction vocale en français ; saisie texte de secours.</w:t>
      </w:r>
    </w:p>
    <w:p>
      <w:pPr>
        <w:pStyle w:val="ListBullet"/>
      </w:pPr>
      <w:r>
        <w:t>Corpus restreint mais éditorialisé : 100 à 300 documents/extraits bien métadonnés.</w:t>
      </w:r>
    </w:p>
    <w:p>
      <w:pPr>
        <w:pStyle w:val="ListBullet"/>
      </w:pPr>
      <w:r>
        <w:t>RAG avec références traçables et interdiction de citation inventée.</w:t>
      </w:r>
    </w:p>
    <w:p>
      <w:pPr>
        <w:pStyle w:val="ListBullet"/>
      </w:pPr>
      <w:r>
        <w:t>4 niveaux dramaturgiques : autorité, défense, contradiction, fissure.</w:t>
      </w:r>
    </w:p>
    <w:p>
      <w:pPr>
        <w:pStyle w:val="ListBullet"/>
      </w:pPr>
      <w:r>
        <w:t>Voix TTS interprétative et lip-sync simple.</w:t>
      </w:r>
    </w:p>
    <w:p>
      <w:pPr>
        <w:pStyle w:val="ListBullet"/>
      </w:pPr>
      <w:r>
        <w:t>Session limitée à quelques minutes avec reset automatique.</w:t>
      </w:r>
    </w:p>
    <w:p>
      <w:pPr>
        <w:pStyle w:val="ListBullet"/>
      </w:pPr>
      <w:r>
        <w:t>Interface opérateur et logs techniques.</w:t>
      </w:r>
    </w:p>
    <w:p>
      <w:pPr>
        <w:pStyle w:val="Heading1"/>
        <w:keepNext/>
        <w:pBdr>
          <w:bottom w:val="single" w:sz="10" w:space="1" w:color="8C3B3B"/>
        </w:pBdr>
        <w:spacing w:before="180" w:after="100"/>
      </w:pPr>
      <w:r>
        <w:t>21. Version exposition aboutie</w:t>
      </w:r>
    </w:p>
    <w:p>
      <w:pPr>
        <w:pStyle w:val="ListBullet"/>
      </w:pPr>
      <w:r>
        <w:t>Animation faciale fine et regard orienté vers le visiteur.</w:t>
      </w:r>
    </w:p>
    <w:p>
      <w:pPr>
        <w:pStyle w:val="ListBullet"/>
      </w:pPr>
      <w:r>
        <w:t>Moteur dramaturgique progressif avec mémoire de session et variations de langage.</w:t>
      </w:r>
    </w:p>
    <w:p>
      <w:pPr>
        <w:pStyle w:val="ListBullet"/>
      </w:pPr>
      <w:r>
        <w:t>Corpus élargi, versionné, traçable et accessible à la médiation.</w:t>
      </w:r>
    </w:p>
    <w:p>
      <w:pPr>
        <w:pStyle w:val="ListBullet"/>
      </w:pPr>
      <w:r>
        <w:t>Français en priorité ; néerlandais et anglais selon contexte d’exposition.</w:t>
      </w:r>
    </w:p>
    <w:p>
      <w:pPr>
        <w:pStyle w:val="ListBullet"/>
      </w:pPr>
      <w:r>
        <w:t>Sous-titres, interface texte et modes accessibilité.</w:t>
      </w:r>
    </w:p>
    <w:p>
      <w:pPr>
        <w:pStyle w:val="ListBullet"/>
      </w:pPr>
      <w:r>
        <w:t>Scénographie complète : cadre, lumière, acoustique, signalétique et espace de recul.</w:t>
      </w:r>
    </w:p>
    <w:p>
      <w:pPr>
        <w:pStyle w:val="ListBullet"/>
      </w:pPr>
      <w:r>
        <w:t>Mode visite individuelle et mode groupe/médiation.</w:t>
      </w:r>
    </w:p>
    <w:p>
      <w:pPr>
        <w:pStyle w:val="ListBullet"/>
      </w:pPr>
      <w:r>
        <w:t>Monitoring, redémarrage automatique, fallback réseau et mode dégradé.</w:t>
      </w:r>
    </w:p>
    <w:p>
      <w:pPr>
        <w:pStyle w:val="Heading1"/>
        <w:keepNext/>
        <w:pBdr>
          <w:bottom w:val="single" w:sz="10" w:space="1" w:color="8C3B3B"/>
        </w:pBdr>
        <w:spacing w:before="180" w:after="100"/>
      </w:pPr>
      <w:r>
        <w:t>22. Plan de production</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fill="2B2B2B"/>
            <w:tcMar>
              <w:top w:w="110" w:type="dxa"/>
              <w:start w:w="110" w:type="dxa"/>
              <w:bottom w:w="110" w:type="dxa"/>
              <w:end w:w="110" w:type="dxa"/>
            </w:tcMar>
          </w:tcPr>
          <w:p>
            <w:r>
              <w:rPr>
                <w:b/>
                <w:color w:val="FFFFFF"/>
                <w:sz w:val="17"/>
              </w:rPr>
              <w:t>Phase</w:t>
            </w:r>
          </w:p>
        </w:tc>
        <w:tc>
          <w:tcPr>
            <w:tcW w:type="dxa" w:w="3324"/>
            <w:shd w:fill="2B2B2B"/>
            <w:tcMar>
              <w:top w:w="110" w:type="dxa"/>
              <w:start w:w="110" w:type="dxa"/>
              <w:bottom w:w="110" w:type="dxa"/>
              <w:end w:w="110" w:type="dxa"/>
            </w:tcMar>
          </w:tcPr>
          <w:p>
            <w:r>
              <w:rPr>
                <w:b/>
                <w:color w:val="FFFFFF"/>
                <w:sz w:val="17"/>
              </w:rPr>
              <w:t>Livrables</w:t>
            </w:r>
          </w:p>
        </w:tc>
        <w:tc>
          <w:tcPr>
            <w:tcW w:type="dxa" w:w="3324"/>
            <w:shd w:fill="2B2B2B"/>
            <w:tcMar>
              <w:top w:w="110" w:type="dxa"/>
              <w:start w:w="110" w:type="dxa"/>
              <w:bottom w:w="110" w:type="dxa"/>
              <w:end w:w="110" w:type="dxa"/>
            </w:tcMar>
          </w:tcPr>
          <w:p>
            <w:r>
              <w:rPr>
                <w:b/>
                <w:color w:val="FFFFFF"/>
                <w:sz w:val="17"/>
              </w:rPr>
              <w:t>Critère de sortie</w:t>
            </w:r>
          </w:p>
        </w:tc>
      </w:tr>
      <w:tr>
        <w:tc>
          <w:tcPr>
            <w:tcW w:type="dxa" w:w="3324"/>
            <w:tcMar>
              <w:top w:w="110" w:type="dxa"/>
              <w:start w:w="110" w:type="dxa"/>
              <w:bottom w:w="110" w:type="dxa"/>
              <w:end w:w="110" w:type="dxa"/>
            </w:tcMar>
            <w:vAlign w:val="top"/>
          </w:tcPr>
          <w:p>
            <w:pPr>
              <w:pStyle w:val="BodyText"/>
              <w:spacing w:after="0"/>
            </w:pPr>
            <w:r>
              <w:rPr>
                <w:sz w:val="17"/>
              </w:rPr>
              <w:t>P0 — Recherche</w:t>
            </w:r>
          </w:p>
        </w:tc>
        <w:tc>
          <w:tcPr>
            <w:tcW w:type="dxa" w:w="3324"/>
            <w:tcMar>
              <w:top w:w="110" w:type="dxa"/>
              <w:start w:w="110" w:type="dxa"/>
              <w:bottom w:w="110" w:type="dxa"/>
              <w:end w:w="110" w:type="dxa"/>
            </w:tcMar>
            <w:vAlign w:val="top"/>
          </w:tcPr>
          <w:p>
            <w:pPr>
              <w:pStyle w:val="BodyText"/>
              <w:spacing w:after="0"/>
            </w:pPr>
            <w:r>
              <w:rPr>
                <w:sz w:val="17"/>
              </w:rPr>
              <w:t>Corpus initial, principes éditoriaux, limites du personnage.</w:t>
            </w:r>
          </w:p>
        </w:tc>
        <w:tc>
          <w:tcPr>
            <w:tcW w:type="dxa" w:w="3324"/>
            <w:tcMar>
              <w:top w:w="110" w:type="dxa"/>
              <w:start w:w="110" w:type="dxa"/>
              <w:bottom w:w="110" w:type="dxa"/>
              <w:end w:w="110" w:type="dxa"/>
            </w:tcMar>
            <w:vAlign w:val="top"/>
          </w:tcPr>
          <w:p>
            <w:pPr>
              <w:pStyle w:val="BodyText"/>
              <w:spacing w:after="0"/>
            </w:pPr>
            <w:r>
              <w:rPr>
                <w:sz w:val="17"/>
              </w:rPr>
              <w:t>Ce que le personnage peut / ne peut pas affirmer est clair.</w:t>
            </w:r>
          </w:p>
        </w:tc>
      </w:tr>
      <w:tr>
        <w:tc>
          <w:tcPr>
            <w:tcW w:type="dxa" w:w="3324"/>
            <w:tcMar>
              <w:top w:w="110" w:type="dxa"/>
              <w:start w:w="110" w:type="dxa"/>
              <w:bottom w:w="110" w:type="dxa"/>
              <w:end w:w="110" w:type="dxa"/>
            </w:tcMar>
            <w:vAlign w:val="top"/>
          </w:tcPr>
          <w:p>
            <w:pPr>
              <w:pStyle w:val="BodyText"/>
              <w:spacing w:after="0"/>
            </w:pPr>
            <w:r>
              <w:rPr>
                <w:sz w:val="17"/>
              </w:rPr>
              <w:t>P1 — Prototype texte</w:t>
            </w:r>
          </w:p>
        </w:tc>
        <w:tc>
          <w:tcPr>
            <w:tcW w:type="dxa" w:w="3324"/>
            <w:tcMar>
              <w:top w:w="110" w:type="dxa"/>
              <w:start w:w="110" w:type="dxa"/>
              <w:bottom w:w="110" w:type="dxa"/>
              <w:end w:w="110" w:type="dxa"/>
            </w:tcMar>
            <w:vAlign w:val="top"/>
          </w:tcPr>
          <w:p>
            <w:pPr>
              <w:pStyle w:val="BodyText"/>
              <w:spacing w:after="0"/>
            </w:pPr>
            <w:r>
              <w:rPr>
                <w:sz w:val="17"/>
              </w:rPr>
              <w:t>RAG + persona + états dramaturgiques.</w:t>
            </w:r>
          </w:p>
        </w:tc>
        <w:tc>
          <w:tcPr>
            <w:tcW w:type="dxa" w:w="3324"/>
            <w:tcMar>
              <w:top w:w="110" w:type="dxa"/>
              <w:start w:w="110" w:type="dxa"/>
              <w:bottom w:w="110" w:type="dxa"/>
              <w:end w:w="110" w:type="dxa"/>
            </w:tcMar>
            <w:vAlign w:val="top"/>
          </w:tcPr>
          <w:p>
            <w:pPr>
              <w:pStyle w:val="BodyText"/>
              <w:spacing w:after="0"/>
            </w:pPr>
            <w:r>
              <w:rPr>
                <w:sz w:val="17"/>
              </w:rPr>
              <w:t>Conversations cohérentes, sourçables, non répétitives.</w:t>
            </w:r>
          </w:p>
        </w:tc>
      </w:tr>
      <w:tr>
        <w:tc>
          <w:tcPr>
            <w:tcW w:type="dxa" w:w="3324"/>
            <w:tcMar>
              <w:top w:w="110" w:type="dxa"/>
              <w:start w:w="110" w:type="dxa"/>
              <w:bottom w:w="110" w:type="dxa"/>
              <w:end w:w="110" w:type="dxa"/>
            </w:tcMar>
            <w:vAlign w:val="top"/>
          </w:tcPr>
          <w:p>
            <w:pPr>
              <w:pStyle w:val="BodyText"/>
              <w:spacing w:after="0"/>
            </w:pPr>
            <w:r>
              <w:rPr>
                <w:sz w:val="17"/>
              </w:rPr>
              <w:t>P2 — Prototype vocal</w:t>
            </w:r>
          </w:p>
        </w:tc>
        <w:tc>
          <w:tcPr>
            <w:tcW w:type="dxa" w:w="3324"/>
            <w:tcMar>
              <w:top w:w="110" w:type="dxa"/>
              <w:start w:w="110" w:type="dxa"/>
              <w:bottom w:w="110" w:type="dxa"/>
              <w:end w:w="110" w:type="dxa"/>
            </w:tcMar>
            <w:vAlign w:val="top"/>
          </w:tcPr>
          <w:p>
            <w:pPr>
              <w:pStyle w:val="BodyText"/>
              <w:spacing w:after="0"/>
            </w:pPr>
            <w:r>
              <w:rPr>
                <w:sz w:val="17"/>
              </w:rPr>
              <w:t>ASR + TTS + gestion de session.</w:t>
            </w:r>
          </w:p>
        </w:tc>
        <w:tc>
          <w:tcPr>
            <w:tcW w:type="dxa" w:w="3324"/>
            <w:tcMar>
              <w:top w:w="110" w:type="dxa"/>
              <w:start w:w="110" w:type="dxa"/>
              <w:bottom w:w="110" w:type="dxa"/>
              <w:end w:w="110" w:type="dxa"/>
            </w:tcMar>
            <w:vAlign w:val="top"/>
          </w:tcPr>
          <w:p>
            <w:pPr>
              <w:pStyle w:val="BodyText"/>
              <w:spacing w:after="0"/>
            </w:pPr>
            <w:r>
              <w:rPr>
                <w:sz w:val="17"/>
              </w:rPr>
              <w:t>Dialogue fluide en environnement calme.</w:t>
            </w:r>
          </w:p>
        </w:tc>
      </w:tr>
      <w:tr>
        <w:tc>
          <w:tcPr>
            <w:tcW w:type="dxa" w:w="3324"/>
            <w:tcMar>
              <w:top w:w="110" w:type="dxa"/>
              <w:start w:w="110" w:type="dxa"/>
              <w:bottom w:w="110" w:type="dxa"/>
              <w:end w:w="110" w:type="dxa"/>
            </w:tcMar>
            <w:vAlign w:val="top"/>
          </w:tcPr>
          <w:p>
            <w:pPr>
              <w:pStyle w:val="BodyText"/>
              <w:spacing w:after="0"/>
            </w:pPr>
            <w:r>
              <w:rPr>
                <w:sz w:val="17"/>
              </w:rPr>
              <w:t>P3 — Portrait animé</w:t>
            </w:r>
          </w:p>
        </w:tc>
        <w:tc>
          <w:tcPr>
            <w:tcW w:type="dxa" w:w="3324"/>
            <w:tcMar>
              <w:top w:w="110" w:type="dxa"/>
              <w:start w:w="110" w:type="dxa"/>
              <w:bottom w:w="110" w:type="dxa"/>
              <w:end w:w="110" w:type="dxa"/>
            </w:tcMar>
            <w:vAlign w:val="top"/>
          </w:tcPr>
          <w:p>
            <w:pPr>
              <w:pStyle w:val="BodyText"/>
              <w:spacing w:after="0"/>
            </w:pPr>
            <w:r>
              <w:rPr>
                <w:sz w:val="17"/>
              </w:rPr>
              <w:t>Idle, écoute, parole, tension.</w:t>
            </w:r>
          </w:p>
        </w:tc>
        <w:tc>
          <w:tcPr>
            <w:tcW w:type="dxa" w:w="3324"/>
            <w:tcMar>
              <w:top w:w="110" w:type="dxa"/>
              <w:start w:w="110" w:type="dxa"/>
              <w:bottom w:w="110" w:type="dxa"/>
              <w:end w:w="110" w:type="dxa"/>
            </w:tcMar>
            <w:vAlign w:val="top"/>
          </w:tcPr>
          <w:p>
            <w:pPr>
              <w:pStyle w:val="BodyText"/>
              <w:spacing w:after="0"/>
            </w:pPr>
            <w:r>
              <w:rPr>
                <w:sz w:val="17"/>
              </w:rPr>
              <w:t>Présence crédible sans effet gadget.</w:t>
            </w:r>
          </w:p>
        </w:tc>
      </w:tr>
      <w:tr>
        <w:tc>
          <w:tcPr>
            <w:tcW w:type="dxa" w:w="3324"/>
            <w:tcMar>
              <w:top w:w="110" w:type="dxa"/>
              <w:start w:w="110" w:type="dxa"/>
              <w:bottom w:w="110" w:type="dxa"/>
              <w:end w:w="110" w:type="dxa"/>
            </w:tcMar>
            <w:vAlign w:val="top"/>
          </w:tcPr>
          <w:p>
            <w:pPr>
              <w:pStyle w:val="BodyText"/>
              <w:spacing w:after="0"/>
            </w:pPr>
            <w:r>
              <w:rPr>
                <w:sz w:val="17"/>
              </w:rPr>
              <w:t>P4 — Intégration</w:t>
            </w:r>
          </w:p>
        </w:tc>
        <w:tc>
          <w:tcPr>
            <w:tcW w:type="dxa" w:w="3324"/>
            <w:tcMar>
              <w:top w:w="110" w:type="dxa"/>
              <w:start w:w="110" w:type="dxa"/>
              <w:bottom w:w="110" w:type="dxa"/>
              <w:end w:w="110" w:type="dxa"/>
            </w:tcMar>
            <w:vAlign w:val="top"/>
          </w:tcPr>
          <w:p>
            <w:pPr>
              <w:pStyle w:val="BodyText"/>
              <w:spacing w:after="0"/>
            </w:pPr>
            <w:r>
              <w:rPr>
                <w:sz w:val="17"/>
              </w:rPr>
              <w:t>Orchestrateur + voix + animation + corpus + supervision.</w:t>
            </w:r>
          </w:p>
        </w:tc>
        <w:tc>
          <w:tcPr>
            <w:tcW w:type="dxa" w:w="3324"/>
            <w:tcMar>
              <w:top w:w="110" w:type="dxa"/>
              <w:start w:w="110" w:type="dxa"/>
              <w:bottom w:w="110" w:type="dxa"/>
              <w:end w:w="110" w:type="dxa"/>
            </w:tcMar>
            <w:vAlign w:val="top"/>
          </w:tcPr>
          <w:p>
            <w:pPr>
              <w:pStyle w:val="BodyText"/>
              <w:spacing w:after="0"/>
            </w:pPr>
            <w:r>
              <w:rPr>
                <w:sz w:val="17"/>
              </w:rPr>
              <w:t>Session complète autonome.</w:t>
            </w:r>
          </w:p>
        </w:tc>
      </w:tr>
      <w:tr>
        <w:tc>
          <w:tcPr>
            <w:tcW w:type="dxa" w:w="3324"/>
            <w:tcMar>
              <w:top w:w="110" w:type="dxa"/>
              <w:start w:w="110" w:type="dxa"/>
              <w:bottom w:w="110" w:type="dxa"/>
              <w:end w:w="110" w:type="dxa"/>
            </w:tcMar>
            <w:vAlign w:val="top"/>
          </w:tcPr>
          <w:p>
            <w:pPr>
              <w:pStyle w:val="BodyText"/>
              <w:spacing w:after="0"/>
            </w:pPr>
            <w:r>
              <w:rPr>
                <w:sz w:val="17"/>
              </w:rPr>
              <w:t>P5 — Tests publics</w:t>
            </w:r>
          </w:p>
        </w:tc>
        <w:tc>
          <w:tcPr>
            <w:tcW w:type="dxa" w:w="3324"/>
            <w:tcMar>
              <w:top w:w="110" w:type="dxa"/>
              <w:start w:w="110" w:type="dxa"/>
              <w:bottom w:w="110" w:type="dxa"/>
              <w:end w:w="110" w:type="dxa"/>
            </w:tcMar>
            <w:vAlign w:val="top"/>
          </w:tcPr>
          <w:p>
            <w:pPr>
              <w:pStyle w:val="BodyText"/>
              <w:spacing w:after="0"/>
            </w:pPr>
            <w:r>
              <w:rPr>
                <w:sz w:val="17"/>
              </w:rPr>
              <w:t>Tests visiteurs, médiateurs et expertise historique.</w:t>
            </w:r>
          </w:p>
        </w:tc>
        <w:tc>
          <w:tcPr>
            <w:tcW w:type="dxa" w:w="3324"/>
            <w:tcMar>
              <w:top w:w="110" w:type="dxa"/>
              <w:start w:w="110" w:type="dxa"/>
              <w:bottom w:w="110" w:type="dxa"/>
              <w:end w:w="110" w:type="dxa"/>
            </w:tcMar>
            <w:vAlign w:val="top"/>
          </w:tcPr>
          <w:p>
            <w:pPr>
              <w:pStyle w:val="BodyText"/>
              <w:spacing w:after="0"/>
            </w:pPr>
            <w:r>
              <w:rPr>
                <w:sz w:val="17"/>
              </w:rPr>
              <w:t>Corrections UX et éditoriales documentées.</w:t>
            </w:r>
          </w:p>
        </w:tc>
      </w:tr>
      <w:tr>
        <w:tc>
          <w:tcPr>
            <w:tcW w:type="dxa" w:w="3324"/>
            <w:tcMar>
              <w:top w:w="110" w:type="dxa"/>
              <w:start w:w="110" w:type="dxa"/>
              <w:bottom w:w="110" w:type="dxa"/>
              <w:end w:w="110" w:type="dxa"/>
            </w:tcMar>
            <w:vAlign w:val="top"/>
          </w:tcPr>
          <w:p>
            <w:pPr>
              <w:pStyle w:val="BodyText"/>
              <w:spacing w:after="0"/>
            </w:pPr>
            <w:r>
              <w:rPr>
                <w:sz w:val="17"/>
              </w:rPr>
              <w:t>P6 — Scénographie</w:t>
            </w:r>
          </w:p>
        </w:tc>
        <w:tc>
          <w:tcPr>
            <w:tcW w:type="dxa" w:w="3324"/>
            <w:tcMar>
              <w:top w:w="110" w:type="dxa"/>
              <w:start w:w="110" w:type="dxa"/>
              <w:bottom w:w="110" w:type="dxa"/>
              <w:end w:w="110" w:type="dxa"/>
            </w:tcMar>
            <w:vAlign w:val="top"/>
          </w:tcPr>
          <w:p>
            <w:pPr>
              <w:pStyle w:val="BodyText"/>
              <w:spacing w:after="0"/>
            </w:pPr>
            <w:r>
              <w:rPr>
                <w:sz w:val="17"/>
              </w:rPr>
              <w:t>Cadre, écran, audio, lumière, câblage, cartel.</w:t>
            </w:r>
          </w:p>
        </w:tc>
        <w:tc>
          <w:tcPr>
            <w:tcW w:type="dxa" w:w="3324"/>
            <w:tcMar>
              <w:top w:w="110" w:type="dxa"/>
              <w:start w:w="110" w:type="dxa"/>
              <w:bottom w:w="110" w:type="dxa"/>
              <w:end w:w="110" w:type="dxa"/>
            </w:tcMar>
            <w:vAlign w:val="top"/>
          </w:tcPr>
          <w:p>
            <w:pPr>
              <w:pStyle w:val="BodyText"/>
              <w:spacing w:after="0"/>
            </w:pPr>
            <w:r>
              <w:rPr>
                <w:sz w:val="17"/>
              </w:rPr>
              <w:t>Installation transportable et maintenable.</w:t>
            </w:r>
          </w:p>
        </w:tc>
      </w:tr>
      <w:tr>
        <w:tc>
          <w:tcPr>
            <w:tcW w:type="dxa" w:w="3324"/>
            <w:tcMar>
              <w:top w:w="110" w:type="dxa"/>
              <w:start w:w="110" w:type="dxa"/>
              <w:bottom w:w="110" w:type="dxa"/>
              <w:end w:w="110" w:type="dxa"/>
            </w:tcMar>
            <w:vAlign w:val="top"/>
          </w:tcPr>
          <w:p>
            <w:pPr>
              <w:pStyle w:val="BodyText"/>
              <w:spacing w:after="0"/>
            </w:pPr>
            <w:r>
              <w:rPr>
                <w:sz w:val="17"/>
              </w:rPr>
              <w:t>P7 — Exposition</w:t>
            </w:r>
          </w:p>
        </w:tc>
        <w:tc>
          <w:tcPr>
            <w:tcW w:type="dxa" w:w="3324"/>
            <w:tcMar>
              <w:top w:w="110" w:type="dxa"/>
              <w:start w:w="110" w:type="dxa"/>
              <w:bottom w:w="110" w:type="dxa"/>
              <w:end w:w="110" w:type="dxa"/>
            </w:tcMar>
            <w:vAlign w:val="top"/>
          </w:tcPr>
          <w:p>
            <w:pPr>
              <w:pStyle w:val="BodyText"/>
              <w:spacing w:after="0"/>
            </w:pPr>
            <w:r>
              <w:rPr>
                <w:sz w:val="17"/>
              </w:rPr>
              <w:t>Procédures, monitoring, maintenance et sauvegardes.</w:t>
            </w:r>
          </w:p>
        </w:tc>
        <w:tc>
          <w:tcPr>
            <w:tcW w:type="dxa" w:w="3324"/>
            <w:tcMar>
              <w:top w:w="110" w:type="dxa"/>
              <w:start w:w="110" w:type="dxa"/>
              <w:bottom w:w="110" w:type="dxa"/>
              <w:end w:w="110" w:type="dxa"/>
            </w:tcMar>
            <w:vAlign w:val="top"/>
          </w:tcPr>
          <w:p>
            <w:pPr>
              <w:pStyle w:val="BodyText"/>
              <w:spacing w:after="0"/>
            </w:pPr>
            <w:r>
              <w:rPr>
                <w:sz w:val="17"/>
              </w:rPr>
              <w:t>Exploitation quotidienne fiable.</w:t>
            </w:r>
          </w:p>
        </w:tc>
      </w:tr>
    </w:tbl>
    <w:p/>
    <w:p>
      <w:pPr>
        <w:pStyle w:val="Heading1"/>
        <w:keepNext/>
        <w:pBdr>
          <w:bottom w:val="single" w:sz="10" w:space="1" w:color="8C3B3B"/>
        </w:pBdr>
        <w:spacing w:before="180" w:after="100"/>
      </w:pPr>
      <w:r>
        <w:t>23. Équipe et compétences</w:t>
      </w:r>
    </w:p>
    <w:p>
      <w:pPr>
        <w:pStyle w:val="ListBullet"/>
      </w:pPr>
      <w:r>
        <w:t>Direction artistique / auteur du dispositif.</w:t>
      </w:r>
    </w:p>
    <w:p>
      <w:pPr>
        <w:pStyle w:val="ListBullet"/>
      </w:pPr>
      <w:r>
        <w:t>Historien·ne ou comité scientifique spécialisé dans l’histoire coloniale belge et congolaise.</w:t>
      </w:r>
    </w:p>
    <w:p>
      <w:pPr>
        <w:pStyle w:val="ListBullet"/>
      </w:pPr>
      <w:r>
        <w:t>Édition documentaire / archivistique.</w:t>
      </w:r>
    </w:p>
    <w:p>
      <w:pPr>
        <w:pStyle w:val="ListBullet"/>
      </w:pPr>
      <w:r>
        <w:t>Dramaturgie et écriture du personnage.</w:t>
      </w:r>
    </w:p>
    <w:p>
      <w:pPr>
        <w:pStyle w:val="ListBullet"/>
      </w:pPr>
      <w:r>
        <w:t>Développement IA : RAG, orchestration, évaluation et garde-fous.</w:t>
      </w:r>
    </w:p>
    <w:p>
      <w:pPr>
        <w:pStyle w:val="ListBullet"/>
      </w:pPr>
      <w:r>
        <w:t>Développement temps réel / animation faciale.</w:t>
      </w:r>
    </w:p>
    <w:p>
      <w:pPr>
        <w:pStyle w:val="ListBullet"/>
      </w:pPr>
      <w:r>
        <w:t>Design sonore et direction de voix.</w:t>
      </w:r>
    </w:p>
    <w:p>
      <w:pPr>
        <w:pStyle w:val="ListBullet"/>
      </w:pPr>
      <w:r>
        <w:t>Scénographie / intégration audiovisuelle.</w:t>
      </w:r>
    </w:p>
    <w:p>
      <w:pPr>
        <w:pStyle w:val="ListBullet"/>
      </w:pPr>
      <w:r>
        <w:t>Médiation culturelle et tests publics.</w:t>
      </w:r>
    </w:p>
    <w:p>
      <w:pPr>
        <w:pStyle w:val="Heading1"/>
        <w:keepNext/>
        <w:pBdr>
          <w:bottom w:val="single" w:sz="10" w:space="1" w:color="8C3B3B"/>
        </w:pBdr>
        <w:spacing w:before="180" w:after="100"/>
      </w:pPr>
      <w:r>
        <w:t>24. Risques et réponses de conception</w:t>
      </w:r>
    </w:p>
    <w:tbl>
      <w:tblPr>
        <w:tblStyle w:val="TableGrid"/>
        <w:tblW w:type="auto" w:w="0"/>
        <w:jc w:val="center"/>
        <w:tblLook w:firstColumn="1" w:firstRow="1" w:lastColumn="0" w:lastRow="0" w:noHBand="0" w:noVBand="1" w:val="04A0"/>
      </w:tblPr>
      <w:tblGrid>
        <w:gridCol w:w="4986"/>
        <w:gridCol w:w="4986"/>
      </w:tblGrid>
      <w:tr>
        <w:tc>
          <w:tcPr>
            <w:tcW w:type="dxa" w:w="4986"/>
            <w:shd w:fill="2B2B2B"/>
            <w:tcMar>
              <w:top w:w="110" w:type="dxa"/>
              <w:start w:w="110" w:type="dxa"/>
              <w:bottom w:w="110" w:type="dxa"/>
              <w:end w:w="110" w:type="dxa"/>
            </w:tcMar>
          </w:tcPr>
          <w:p>
            <w:r>
              <w:rPr>
                <w:b/>
                <w:color w:val="FFFFFF"/>
                <w:sz w:val="17"/>
              </w:rPr>
              <w:t>Risque</w:t>
            </w:r>
          </w:p>
        </w:tc>
        <w:tc>
          <w:tcPr>
            <w:tcW w:type="dxa" w:w="4986"/>
            <w:shd w:fill="2B2B2B"/>
            <w:tcMar>
              <w:top w:w="110" w:type="dxa"/>
              <w:start w:w="110" w:type="dxa"/>
              <w:bottom w:w="110" w:type="dxa"/>
              <w:end w:w="110" w:type="dxa"/>
            </w:tcMar>
          </w:tcPr>
          <w:p>
            <w:r>
              <w:rPr>
                <w:b/>
                <w:color w:val="FFFFFF"/>
                <w:sz w:val="17"/>
              </w:rPr>
              <w:t>Réponse</w:t>
            </w:r>
          </w:p>
        </w:tc>
      </w:tr>
      <w:tr>
        <w:tc>
          <w:tcPr>
            <w:tcW w:type="dxa" w:w="4986"/>
            <w:tcMar>
              <w:top w:w="110" w:type="dxa"/>
              <w:start w:w="110" w:type="dxa"/>
              <w:bottom w:w="110" w:type="dxa"/>
              <w:end w:w="110" w:type="dxa"/>
            </w:tcMar>
            <w:vAlign w:val="top"/>
          </w:tcPr>
          <w:p>
            <w:pPr>
              <w:pStyle w:val="BodyText"/>
              <w:spacing w:after="0"/>
            </w:pPr>
            <w:r>
              <w:rPr>
                <w:sz w:val="17"/>
              </w:rPr>
              <w:t>Hallucinations factuelles</w:t>
            </w:r>
          </w:p>
        </w:tc>
        <w:tc>
          <w:tcPr>
            <w:tcW w:type="dxa" w:w="4986"/>
            <w:tcMar>
              <w:top w:w="110" w:type="dxa"/>
              <w:start w:w="110" w:type="dxa"/>
              <w:bottom w:w="110" w:type="dxa"/>
              <w:end w:w="110" w:type="dxa"/>
            </w:tcMar>
            <w:vAlign w:val="top"/>
          </w:tcPr>
          <w:p>
            <w:pPr>
              <w:pStyle w:val="BodyText"/>
              <w:spacing w:after="0"/>
            </w:pPr>
            <w:r>
              <w:rPr>
                <w:sz w:val="17"/>
              </w:rPr>
              <w:t>RAG obligatoire, vérification, corpus contrôlé et refus des citations non sourcées.</w:t>
            </w:r>
          </w:p>
        </w:tc>
      </w:tr>
      <w:tr>
        <w:tc>
          <w:tcPr>
            <w:tcW w:type="dxa" w:w="4986"/>
            <w:tcMar>
              <w:top w:w="110" w:type="dxa"/>
              <w:start w:w="110" w:type="dxa"/>
              <w:bottom w:w="110" w:type="dxa"/>
              <w:end w:w="110" w:type="dxa"/>
            </w:tcMar>
            <w:vAlign w:val="top"/>
          </w:tcPr>
          <w:p>
            <w:pPr>
              <w:pStyle w:val="BodyText"/>
              <w:spacing w:after="0"/>
            </w:pPr>
            <w:r>
              <w:rPr>
                <w:sz w:val="17"/>
              </w:rPr>
              <w:t>Personnage trop convaincant</w:t>
            </w:r>
          </w:p>
        </w:tc>
        <w:tc>
          <w:tcPr>
            <w:tcW w:type="dxa" w:w="4986"/>
            <w:tcMar>
              <w:top w:w="110" w:type="dxa"/>
              <w:start w:w="110" w:type="dxa"/>
              <w:bottom w:w="110" w:type="dxa"/>
              <w:end w:w="110" w:type="dxa"/>
            </w:tcMar>
            <w:vAlign w:val="top"/>
          </w:tcPr>
          <w:p>
            <w:pPr>
              <w:pStyle w:val="BodyText"/>
              <w:spacing w:after="0"/>
            </w:pPr>
            <w:r>
              <w:rPr>
                <w:sz w:val="17"/>
              </w:rPr>
              <w:t>Distinguer personnage et couche documentaire ; signaler la reconstruction ; rendre la contradiction centrale.</w:t>
            </w:r>
          </w:p>
        </w:tc>
      </w:tr>
      <w:tr>
        <w:tc>
          <w:tcPr>
            <w:tcW w:type="dxa" w:w="4986"/>
            <w:tcMar>
              <w:top w:w="110" w:type="dxa"/>
              <w:start w:w="110" w:type="dxa"/>
              <w:bottom w:w="110" w:type="dxa"/>
              <w:end w:w="110" w:type="dxa"/>
            </w:tcMar>
            <w:vAlign w:val="top"/>
          </w:tcPr>
          <w:p>
            <w:pPr>
              <w:pStyle w:val="BodyText"/>
              <w:spacing w:after="0"/>
            </w:pPr>
            <w:r>
              <w:rPr>
                <w:sz w:val="17"/>
              </w:rPr>
              <w:t>Apologie involontaire</w:t>
            </w:r>
          </w:p>
        </w:tc>
        <w:tc>
          <w:tcPr>
            <w:tcW w:type="dxa" w:w="4986"/>
            <w:tcMar>
              <w:top w:w="110" w:type="dxa"/>
              <w:start w:w="110" w:type="dxa"/>
              <w:bottom w:w="110" w:type="dxa"/>
              <w:end w:w="110" w:type="dxa"/>
            </w:tcMar>
            <w:vAlign w:val="top"/>
          </w:tcPr>
          <w:p>
            <w:pPr>
              <w:pStyle w:val="BodyText"/>
              <w:spacing w:after="0"/>
            </w:pPr>
            <w:r>
              <w:rPr>
                <w:sz w:val="17"/>
              </w:rPr>
              <w:t>Relecture éditoriale, expertise historique, corpus contradictoire et tests qualitatifs.</w:t>
            </w:r>
          </w:p>
        </w:tc>
      </w:tr>
      <w:tr>
        <w:tc>
          <w:tcPr>
            <w:tcW w:type="dxa" w:w="4986"/>
            <w:tcMar>
              <w:top w:w="110" w:type="dxa"/>
              <w:start w:w="110" w:type="dxa"/>
              <w:bottom w:w="110" w:type="dxa"/>
              <w:end w:w="110" w:type="dxa"/>
            </w:tcMar>
            <w:vAlign w:val="top"/>
          </w:tcPr>
          <w:p>
            <w:pPr>
              <w:pStyle w:val="BodyText"/>
              <w:spacing w:after="0"/>
            </w:pPr>
            <w:r>
              <w:rPr>
                <w:sz w:val="17"/>
              </w:rPr>
              <w:t>Conversation plate</w:t>
            </w:r>
          </w:p>
        </w:tc>
        <w:tc>
          <w:tcPr>
            <w:tcW w:type="dxa" w:w="4986"/>
            <w:tcMar>
              <w:top w:w="110" w:type="dxa"/>
              <w:start w:w="110" w:type="dxa"/>
              <w:bottom w:w="110" w:type="dxa"/>
              <w:end w:w="110" w:type="dxa"/>
            </w:tcMar>
            <w:vAlign w:val="top"/>
          </w:tcPr>
          <w:p>
            <w:pPr>
              <w:pStyle w:val="BodyText"/>
              <w:spacing w:after="0"/>
            </w:pPr>
            <w:r>
              <w:rPr>
                <w:sz w:val="17"/>
              </w:rPr>
              <w:t>États dramaturgiques, mémoire courte, pression progressive et réponses plus brèves.</w:t>
            </w:r>
          </w:p>
        </w:tc>
      </w:tr>
      <w:tr>
        <w:tc>
          <w:tcPr>
            <w:tcW w:type="dxa" w:w="4986"/>
            <w:tcMar>
              <w:top w:w="110" w:type="dxa"/>
              <w:start w:w="110" w:type="dxa"/>
              <w:bottom w:w="110" w:type="dxa"/>
              <w:end w:w="110" w:type="dxa"/>
            </w:tcMar>
            <w:vAlign w:val="top"/>
          </w:tcPr>
          <w:p>
            <w:pPr>
              <w:pStyle w:val="BodyText"/>
              <w:spacing w:after="0"/>
            </w:pPr>
            <w:r>
              <w:rPr>
                <w:sz w:val="17"/>
              </w:rPr>
              <w:t>Effet gadget IA</w:t>
            </w:r>
          </w:p>
        </w:tc>
        <w:tc>
          <w:tcPr>
            <w:tcW w:type="dxa" w:w="4986"/>
            <w:tcMar>
              <w:top w:w="110" w:type="dxa"/>
              <w:start w:w="110" w:type="dxa"/>
              <w:bottom w:w="110" w:type="dxa"/>
              <w:end w:w="110" w:type="dxa"/>
            </w:tcMar>
            <w:vAlign w:val="top"/>
          </w:tcPr>
          <w:p>
            <w:pPr>
              <w:pStyle w:val="BodyText"/>
              <w:spacing w:after="0"/>
            </w:pPr>
            <w:r>
              <w:rPr>
                <w:sz w:val="17"/>
              </w:rPr>
              <w:t>Technologie invisible ; priorité au regard, au silence, au texte et à l’archive.</w:t>
            </w:r>
          </w:p>
        </w:tc>
      </w:tr>
      <w:tr>
        <w:tc>
          <w:tcPr>
            <w:tcW w:type="dxa" w:w="4986"/>
            <w:tcMar>
              <w:top w:w="110" w:type="dxa"/>
              <w:start w:w="110" w:type="dxa"/>
              <w:bottom w:w="110" w:type="dxa"/>
              <w:end w:w="110" w:type="dxa"/>
            </w:tcMar>
            <w:vAlign w:val="top"/>
          </w:tcPr>
          <w:p>
            <w:pPr>
              <w:pStyle w:val="BodyText"/>
              <w:spacing w:after="0"/>
            </w:pPr>
            <w:r>
              <w:rPr>
                <w:sz w:val="17"/>
              </w:rPr>
              <w:t>Latence</w:t>
            </w:r>
          </w:p>
        </w:tc>
        <w:tc>
          <w:tcPr>
            <w:tcW w:type="dxa" w:w="4986"/>
            <w:tcMar>
              <w:top w:w="110" w:type="dxa"/>
              <w:start w:w="110" w:type="dxa"/>
              <w:bottom w:w="110" w:type="dxa"/>
              <w:end w:w="110" w:type="dxa"/>
            </w:tcMar>
            <w:vAlign w:val="top"/>
          </w:tcPr>
          <w:p>
            <w:pPr>
              <w:pStyle w:val="BodyText"/>
              <w:spacing w:after="0"/>
            </w:pPr>
            <w:r>
              <w:rPr>
                <w:sz w:val="17"/>
              </w:rPr>
              <w:t>Pipeline streaming, modèles rapides, réponses courtes et feedback d’écoute.</w:t>
            </w:r>
          </w:p>
        </w:tc>
      </w:tr>
      <w:tr>
        <w:tc>
          <w:tcPr>
            <w:tcW w:type="dxa" w:w="4986"/>
            <w:tcMar>
              <w:top w:w="110" w:type="dxa"/>
              <w:start w:w="110" w:type="dxa"/>
              <w:bottom w:w="110" w:type="dxa"/>
              <w:end w:w="110" w:type="dxa"/>
            </w:tcMar>
            <w:vAlign w:val="top"/>
          </w:tcPr>
          <w:p>
            <w:pPr>
              <w:pStyle w:val="BodyText"/>
              <w:spacing w:after="0"/>
            </w:pPr>
            <w:r>
              <w:rPr>
                <w:sz w:val="17"/>
              </w:rPr>
              <w:t>Bruit d’exposition</w:t>
            </w:r>
          </w:p>
        </w:tc>
        <w:tc>
          <w:tcPr>
            <w:tcW w:type="dxa" w:w="4986"/>
            <w:tcMar>
              <w:top w:w="110" w:type="dxa"/>
              <w:start w:w="110" w:type="dxa"/>
              <w:bottom w:w="110" w:type="dxa"/>
              <w:end w:w="110" w:type="dxa"/>
            </w:tcMar>
            <w:vAlign w:val="top"/>
          </w:tcPr>
          <w:p>
            <w:pPr>
              <w:pStyle w:val="BodyText"/>
              <w:spacing w:after="0"/>
            </w:pPr>
            <w:r>
              <w:rPr>
                <w:sz w:val="17"/>
              </w:rPr>
              <w:t>Micro directionnel, push-to-talk éventuel, interface texte de secours.</w:t>
            </w:r>
          </w:p>
        </w:tc>
      </w:tr>
      <w:tr>
        <w:tc>
          <w:tcPr>
            <w:tcW w:type="dxa" w:w="4986"/>
            <w:tcMar>
              <w:top w:w="110" w:type="dxa"/>
              <w:start w:w="110" w:type="dxa"/>
              <w:bottom w:w="110" w:type="dxa"/>
              <w:end w:w="110" w:type="dxa"/>
            </w:tcMar>
            <w:vAlign w:val="top"/>
          </w:tcPr>
          <w:p>
            <w:pPr>
              <w:pStyle w:val="BodyText"/>
              <w:spacing w:after="0"/>
            </w:pPr>
            <w:r>
              <w:rPr>
                <w:sz w:val="17"/>
              </w:rPr>
              <w:t>Panne réseau</w:t>
            </w:r>
          </w:p>
        </w:tc>
        <w:tc>
          <w:tcPr>
            <w:tcW w:type="dxa" w:w="4986"/>
            <w:tcMar>
              <w:top w:w="110" w:type="dxa"/>
              <w:start w:w="110" w:type="dxa"/>
              <w:bottom w:w="110" w:type="dxa"/>
              <w:end w:w="110" w:type="dxa"/>
            </w:tcMar>
            <w:vAlign w:val="top"/>
          </w:tcPr>
          <w:p>
            <w:pPr>
              <w:pStyle w:val="BodyText"/>
              <w:spacing w:after="0"/>
            </w:pPr>
            <w:r>
              <w:rPr>
                <w:sz w:val="17"/>
              </w:rPr>
              <w:t>Mode local/hybride, cache et supervision opérateur.</w:t>
            </w:r>
          </w:p>
        </w:tc>
      </w:tr>
      <w:tr>
        <w:tc>
          <w:tcPr>
            <w:tcW w:type="dxa" w:w="4986"/>
            <w:tcMar>
              <w:top w:w="110" w:type="dxa"/>
              <w:start w:w="110" w:type="dxa"/>
              <w:bottom w:w="110" w:type="dxa"/>
              <w:end w:w="110" w:type="dxa"/>
            </w:tcMar>
            <w:vAlign w:val="top"/>
          </w:tcPr>
          <w:p>
            <w:pPr>
              <w:pStyle w:val="BodyText"/>
              <w:spacing w:after="0"/>
            </w:pPr>
            <w:r>
              <w:rPr>
                <w:sz w:val="17"/>
              </w:rPr>
              <w:t>Corpus ingérable</w:t>
            </w:r>
          </w:p>
        </w:tc>
        <w:tc>
          <w:tcPr>
            <w:tcW w:type="dxa" w:w="4986"/>
            <w:tcMar>
              <w:top w:w="110" w:type="dxa"/>
              <w:start w:w="110" w:type="dxa"/>
              <w:bottom w:w="110" w:type="dxa"/>
              <w:end w:w="110" w:type="dxa"/>
            </w:tcMar>
            <w:vAlign w:val="top"/>
          </w:tcPr>
          <w:p>
            <w:pPr>
              <w:pStyle w:val="BodyText"/>
              <w:spacing w:after="0"/>
            </w:pPr>
            <w:r>
              <w:rPr>
                <w:sz w:val="17"/>
              </w:rPr>
              <w:t>Curatelle, métadonnées strictes, tests de retrieval et versionnage.</w:t>
            </w:r>
          </w:p>
        </w:tc>
      </w:tr>
    </w:tbl>
    <w:p/>
    <w:p>
      <w:pPr>
        <w:pStyle w:val="Heading1"/>
        <w:keepNext/>
        <w:pBdr>
          <w:bottom w:val="single" w:sz="10" w:space="1" w:color="8C3B3B"/>
        </w:pBdr>
        <w:spacing w:before="180" w:after="100"/>
      </w:pPr>
      <w:r>
        <w:t>25. Critères d’évaluation du prototype</w:t>
      </w:r>
    </w:p>
    <w:p>
      <w:pPr>
        <w:pStyle w:val="ListBullet"/>
      </w:pPr>
      <w:r>
        <w:t>Le visiteur comprend en moins de 30 secondes qu’il peut interroger le portrait.</w:t>
      </w:r>
    </w:p>
    <w:p>
      <w:pPr>
        <w:pStyle w:val="ListBullet"/>
      </w:pPr>
      <w:r>
        <w:t>La réponse paraît incarnée sans prétendre être un témoignage authentique.</w:t>
      </w:r>
    </w:p>
    <w:p>
      <w:pPr>
        <w:pStyle w:val="ListBullet"/>
      </w:pPr>
      <w:r>
        <w:t>Les affirmations importantes sont rattachables au corpus.</w:t>
      </w:r>
    </w:p>
    <w:p>
      <w:pPr>
        <w:pStyle w:val="ListBullet"/>
      </w:pPr>
      <w:r>
        <w:t>Une contradiction répétée produit une évolution perceptible du comportement.</w:t>
      </w:r>
    </w:p>
    <w:p>
      <w:pPr>
        <w:pStyle w:val="ListBullet"/>
      </w:pPr>
      <w:r>
        <w:t>Le personnage ne boucle pas mécaniquement sur la même défense.</w:t>
      </w:r>
    </w:p>
    <w:p>
      <w:pPr>
        <w:pStyle w:val="ListBullet"/>
      </w:pPr>
      <w:r>
        <w:t>La latence ne casse pas la sensation de dialogue.</w:t>
      </w:r>
    </w:p>
    <w:p>
      <w:pPr>
        <w:pStyle w:val="ListBullet"/>
      </w:pPr>
      <w:r>
        <w:t>L’animation reste crédible lorsqu’elle est presque immobile.</w:t>
      </w:r>
    </w:p>
    <w:p>
      <w:pPr>
        <w:pStyle w:val="ListBullet"/>
      </w:pPr>
      <w:r>
        <w:t>Le dispositif conserve son intérêt après disparition de l’effet de surprise technologique.</w:t>
      </w:r>
    </w:p>
    <w:p>
      <w:pPr>
        <w:pStyle w:val="ListBullet"/>
      </w:pPr>
      <w:r>
        <w:t>Le public retient une question sur la construction du récit et de la responsabilité, pas seulement « un roi qui parle ».</w:t>
      </w:r>
    </w:p>
    <w:p>
      <w:pPr>
        <w:pStyle w:val="Heading1"/>
        <w:keepNext/>
        <w:pBdr>
          <w:bottom w:val="single" w:sz="10" w:space="1" w:color="8C3B3B"/>
        </w:pBdr>
        <w:spacing w:before="180" w:after="100"/>
      </w:pPr>
      <w:r>
        <w:t>26. Pistes de médiation et extensions</w:t>
      </w:r>
    </w:p>
    <w:p>
      <w:pPr>
        <w:pStyle w:val="ListBullet"/>
      </w:pPr>
      <w:r>
        <w:t>Mode « archive » après l’échange : consulter les documents mobilisés par le système.</w:t>
      </w:r>
    </w:p>
    <w:p>
      <w:pPr>
        <w:pStyle w:val="ListBullet"/>
      </w:pPr>
      <w:r>
        <w:t>Cartel numérique indiquant discrètement les familles de sources utilisées.</w:t>
      </w:r>
    </w:p>
    <w:p>
      <w:pPr>
        <w:pStyle w:val="ListBullet"/>
      </w:pPr>
      <w:r>
        <w:t>Version scolaire à durée limitée avec questions de départ préparées.</w:t>
      </w:r>
    </w:p>
    <w:p>
      <w:pPr>
        <w:pStyle w:val="ListBullet"/>
      </w:pPr>
      <w:r>
        <w:t>Second dispositif donnant accès aux contre-récits et archives sans forcément personnifier artificiellement ces voix.</w:t>
      </w:r>
    </w:p>
    <w:p>
      <w:pPr>
        <w:pStyle w:val="ListBullet"/>
      </w:pPr>
      <w:r>
        <w:t>Visualisation anonymisée des thèmes sur lesquels le personnage a été le plus confronté.</w:t>
      </w:r>
    </w:p>
    <w:p>
      <w:pPr>
        <w:pStyle w:val="ListBullet"/>
      </w:pPr>
      <w:r>
        <w:t>Déclinaison future en série sur d’autres figures historiques et les mécanismes du pouvoir.</w:t>
      </w:r>
    </w:p>
    <w:p>
      <w:pPr>
        <w:pStyle w:val="Heading1"/>
        <w:keepNext/>
        <w:pBdr>
          <w:bottom w:val="single" w:sz="10" w:space="1" w:color="8C3B3B"/>
        </w:pBdr>
        <w:spacing w:before="180" w:after="100"/>
      </w:pPr>
      <w:r>
        <w:t>27. Arbitrages à prendre avant production</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fill="2B2B2B"/>
            <w:tcMar>
              <w:top w:w="110" w:type="dxa"/>
              <w:start w:w="110" w:type="dxa"/>
              <w:bottom w:w="110" w:type="dxa"/>
              <w:end w:w="110" w:type="dxa"/>
            </w:tcMar>
          </w:tcPr>
          <w:p>
            <w:r>
              <w:rPr>
                <w:b/>
                <w:color w:val="FFFFFF"/>
                <w:sz w:val="17"/>
              </w:rPr>
              <w:t>Décision</w:t>
            </w:r>
          </w:p>
        </w:tc>
        <w:tc>
          <w:tcPr>
            <w:tcW w:type="dxa" w:w="3324"/>
            <w:shd w:fill="2B2B2B"/>
            <w:tcMar>
              <w:top w:w="110" w:type="dxa"/>
              <w:start w:w="110" w:type="dxa"/>
              <w:bottom w:w="110" w:type="dxa"/>
              <w:end w:w="110" w:type="dxa"/>
            </w:tcMar>
          </w:tcPr>
          <w:p>
            <w:r>
              <w:rPr>
                <w:b/>
                <w:color w:val="FFFFFF"/>
                <w:sz w:val="17"/>
              </w:rPr>
              <w:t>Option A</w:t>
            </w:r>
          </w:p>
        </w:tc>
        <w:tc>
          <w:tcPr>
            <w:tcW w:type="dxa" w:w="3324"/>
            <w:shd w:fill="2B2B2B"/>
            <w:tcMar>
              <w:top w:w="110" w:type="dxa"/>
              <w:start w:w="110" w:type="dxa"/>
              <w:bottom w:w="110" w:type="dxa"/>
              <w:end w:w="110" w:type="dxa"/>
            </w:tcMar>
          </w:tcPr>
          <w:p>
            <w:r>
              <w:rPr>
                <w:b/>
                <w:color w:val="FFFFFF"/>
                <w:sz w:val="17"/>
              </w:rPr>
              <w:t>Option B</w:t>
            </w:r>
          </w:p>
        </w:tc>
      </w:tr>
      <w:tr>
        <w:tc>
          <w:tcPr>
            <w:tcW w:type="dxa" w:w="3324"/>
            <w:tcMar>
              <w:top w:w="110" w:type="dxa"/>
              <w:start w:w="110" w:type="dxa"/>
              <w:bottom w:w="110" w:type="dxa"/>
              <w:end w:w="110" w:type="dxa"/>
            </w:tcMar>
            <w:vAlign w:val="top"/>
          </w:tcPr>
          <w:p>
            <w:pPr>
              <w:pStyle w:val="BodyText"/>
              <w:spacing w:after="0"/>
            </w:pPr>
            <w:r>
              <w:rPr>
                <w:sz w:val="17"/>
              </w:rPr>
              <w:t>Nom final</w:t>
            </w:r>
          </w:p>
        </w:tc>
        <w:tc>
          <w:tcPr>
            <w:tcW w:type="dxa" w:w="3324"/>
            <w:tcMar>
              <w:top w:w="110" w:type="dxa"/>
              <w:start w:w="110" w:type="dxa"/>
              <w:bottom w:w="110" w:type="dxa"/>
              <w:end w:w="110" w:type="dxa"/>
            </w:tcMar>
            <w:vAlign w:val="top"/>
          </w:tcPr>
          <w:p>
            <w:pPr>
              <w:pStyle w:val="BodyText"/>
              <w:spacing w:after="0"/>
            </w:pPr>
            <w:r>
              <w:rPr>
                <w:sz w:val="17"/>
              </w:rPr>
              <w:t>Léopold 2.0</w:t>
            </w:r>
          </w:p>
        </w:tc>
        <w:tc>
          <w:tcPr>
            <w:tcW w:type="dxa" w:w="3324"/>
            <w:tcMar>
              <w:top w:w="110" w:type="dxa"/>
              <w:start w:w="110" w:type="dxa"/>
              <w:bottom w:w="110" w:type="dxa"/>
              <w:end w:w="110" w:type="dxa"/>
            </w:tcMar>
            <w:vAlign w:val="top"/>
          </w:tcPr>
          <w:p>
            <w:pPr>
              <w:pStyle w:val="BodyText"/>
              <w:spacing w:after="0"/>
            </w:pPr>
            <w:r>
              <w:rPr>
                <w:sz w:val="17"/>
              </w:rPr>
              <w:t>Audience avec Léopold II</w:t>
            </w:r>
          </w:p>
        </w:tc>
      </w:tr>
      <w:tr>
        <w:tc>
          <w:tcPr>
            <w:tcW w:type="dxa" w:w="3324"/>
            <w:tcMar>
              <w:top w:w="110" w:type="dxa"/>
              <w:start w:w="110" w:type="dxa"/>
              <w:bottom w:w="110" w:type="dxa"/>
              <w:end w:w="110" w:type="dxa"/>
            </w:tcMar>
            <w:vAlign w:val="top"/>
          </w:tcPr>
          <w:p>
            <w:pPr>
              <w:pStyle w:val="BodyText"/>
              <w:spacing w:after="0"/>
            </w:pPr>
            <w:r>
              <w:rPr>
                <w:sz w:val="17"/>
              </w:rPr>
              <w:t>Image</w:t>
            </w:r>
          </w:p>
        </w:tc>
        <w:tc>
          <w:tcPr>
            <w:tcW w:type="dxa" w:w="3324"/>
            <w:tcMar>
              <w:top w:w="110" w:type="dxa"/>
              <w:start w:w="110" w:type="dxa"/>
              <w:bottom w:w="110" w:type="dxa"/>
              <w:end w:w="110" w:type="dxa"/>
            </w:tcMar>
            <w:vAlign w:val="top"/>
          </w:tcPr>
          <w:p>
            <w:pPr>
              <w:pStyle w:val="BodyText"/>
              <w:spacing w:after="0"/>
            </w:pPr>
            <w:r>
              <w:rPr>
                <w:sz w:val="17"/>
              </w:rPr>
              <w:t>Portrait historique animé</w:t>
            </w:r>
          </w:p>
        </w:tc>
        <w:tc>
          <w:tcPr>
            <w:tcW w:type="dxa" w:w="3324"/>
            <w:tcMar>
              <w:top w:w="110" w:type="dxa"/>
              <w:start w:w="110" w:type="dxa"/>
              <w:bottom w:w="110" w:type="dxa"/>
              <w:end w:w="110" w:type="dxa"/>
            </w:tcMar>
            <w:vAlign w:val="top"/>
          </w:tcPr>
          <w:p>
            <w:pPr>
              <w:pStyle w:val="BodyText"/>
              <w:spacing w:after="0"/>
            </w:pPr>
            <w:r>
              <w:rPr>
                <w:sz w:val="17"/>
              </w:rPr>
              <w:t>Interprétation visuelle originale</w:t>
            </w:r>
          </w:p>
        </w:tc>
      </w:tr>
      <w:tr>
        <w:tc>
          <w:tcPr>
            <w:tcW w:type="dxa" w:w="3324"/>
            <w:tcMar>
              <w:top w:w="110" w:type="dxa"/>
              <w:start w:w="110" w:type="dxa"/>
              <w:bottom w:w="110" w:type="dxa"/>
              <w:end w:w="110" w:type="dxa"/>
            </w:tcMar>
            <w:vAlign w:val="top"/>
          </w:tcPr>
          <w:p>
            <w:pPr>
              <w:pStyle w:val="BodyText"/>
              <w:spacing w:after="0"/>
            </w:pPr>
            <w:r>
              <w:rPr>
                <w:sz w:val="17"/>
              </w:rPr>
              <w:t>Infrastructure IA</w:t>
            </w:r>
          </w:p>
        </w:tc>
        <w:tc>
          <w:tcPr>
            <w:tcW w:type="dxa" w:w="3324"/>
            <w:tcMar>
              <w:top w:w="110" w:type="dxa"/>
              <w:start w:w="110" w:type="dxa"/>
              <w:bottom w:w="110" w:type="dxa"/>
              <w:end w:w="110" w:type="dxa"/>
            </w:tcMar>
            <w:vAlign w:val="top"/>
          </w:tcPr>
          <w:p>
            <w:pPr>
              <w:pStyle w:val="BodyText"/>
              <w:spacing w:after="0"/>
            </w:pPr>
            <w:r>
              <w:rPr>
                <w:sz w:val="17"/>
              </w:rPr>
              <w:t>Services cloud contrôlés</w:t>
            </w:r>
          </w:p>
        </w:tc>
        <w:tc>
          <w:tcPr>
            <w:tcW w:type="dxa" w:w="3324"/>
            <w:tcMar>
              <w:top w:w="110" w:type="dxa"/>
              <w:start w:w="110" w:type="dxa"/>
              <w:bottom w:w="110" w:type="dxa"/>
              <w:end w:w="110" w:type="dxa"/>
            </w:tcMar>
            <w:vAlign w:val="top"/>
          </w:tcPr>
          <w:p>
            <w:pPr>
              <w:pStyle w:val="BodyText"/>
              <w:spacing w:after="0"/>
            </w:pPr>
            <w:r>
              <w:rPr>
                <w:sz w:val="17"/>
              </w:rPr>
              <w:t>Stack majoritairement locale</w:t>
            </w:r>
          </w:p>
        </w:tc>
      </w:tr>
      <w:tr>
        <w:tc>
          <w:tcPr>
            <w:tcW w:type="dxa" w:w="3324"/>
            <w:tcMar>
              <w:top w:w="110" w:type="dxa"/>
              <w:start w:w="110" w:type="dxa"/>
              <w:bottom w:w="110" w:type="dxa"/>
              <w:end w:w="110" w:type="dxa"/>
            </w:tcMar>
            <w:vAlign w:val="top"/>
          </w:tcPr>
          <w:p>
            <w:pPr>
              <w:pStyle w:val="BodyText"/>
              <w:spacing w:after="0"/>
            </w:pPr>
            <w:r>
              <w:rPr>
                <w:sz w:val="17"/>
              </w:rPr>
              <w:t>Voix</w:t>
            </w:r>
          </w:p>
        </w:tc>
        <w:tc>
          <w:tcPr>
            <w:tcW w:type="dxa" w:w="3324"/>
            <w:tcMar>
              <w:top w:w="110" w:type="dxa"/>
              <w:start w:w="110" w:type="dxa"/>
              <w:bottom w:w="110" w:type="dxa"/>
              <w:end w:w="110" w:type="dxa"/>
            </w:tcMar>
            <w:vAlign w:val="top"/>
          </w:tcPr>
          <w:p>
            <w:pPr>
              <w:pStyle w:val="BodyText"/>
              <w:spacing w:after="0"/>
            </w:pPr>
            <w:r>
              <w:rPr>
                <w:sz w:val="17"/>
              </w:rPr>
              <w:t>TTS conçue pour l’œuvre</w:t>
            </w:r>
          </w:p>
        </w:tc>
        <w:tc>
          <w:tcPr>
            <w:tcW w:type="dxa" w:w="3324"/>
            <w:tcMar>
              <w:top w:w="110" w:type="dxa"/>
              <w:start w:w="110" w:type="dxa"/>
              <w:bottom w:w="110" w:type="dxa"/>
              <w:end w:w="110" w:type="dxa"/>
            </w:tcMar>
            <w:vAlign w:val="top"/>
          </w:tcPr>
          <w:p>
            <w:pPr>
              <w:pStyle w:val="BodyText"/>
              <w:spacing w:after="0"/>
            </w:pPr>
            <w:r>
              <w:rPr>
                <w:sz w:val="17"/>
              </w:rPr>
              <w:t>Voix d’acteur puis modèle sous licence</w:t>
            </w:r>
          </w:p>
        </w:tc>
      </w:tr>
      <w:tr>
        <w:tc>
          <w:tcPr>
            <w:tcW w:type="dxa" w:w="3324"/>
            <w:tcMar>
              <w:top w:w="110" w:type="dxa"/>
              <w:start w:w="110" w:type="dxa"/>
              <w:bottom w:w="110" w:type="dxa"/>
              <w:end w:w="110" w:type="dxa"/>
            </w:tcMar>
            <w:vAlign w:val="top"/>
          </w:tcPr>
          <w:p>
            <w:pPr>
              <w:pStyle w:val="BodyText"/>
              <w:spacing w:after="0"/>
            </w:pPr>
            <w:r>
              <w:rPr>
                <w:sz w:val="17"/>
              </w:rPr>
              <w:t>Interaction</w:t>
            </w:r>
          </w:p>
        </w:tc>
        <w:tc>
          <w:tcPr>
            <w:tcW w:type="dxa" w:w="3324"/>
            <w:tcMar>
              <w:top w:w="110" w:type="dxa"/>
              <w:start w:w="110" w:type="dxa"/>
              <w:bottom w:w="110" w:type="dxa"/>
              <w:end w:w="110" w:type="dxa"/>
            </w:tcMar>
            <w:vAlign w:val="top"/>
          </w:tcPr>
          <w:p>
            <w:pPr>
              <w:pStyle w:val="BodyText"/>
              <w:spacing w:after="0"/>
            </w:pPr>
            <w:r>
              <w:rPr>
                <w:sz w:val="17"/>
              </w:rPr>
              <w:t>Voix + sous-titres</w:t>
            </w:r>
          </w:p>
        </w:tc>
        <w:tc>
          <w:tcPr>
            <w:tcW w:type="dxa" w:w="3324"/>
            <w:tcMar>
              <w:top w:w="110" w:type="dxa"/>
              <w:start w:w="110" w:type="dxa"/>
              <w:bottom w:w="110" w:type="dxa"/>
              <w:end w:w="110" w:type="dxa"/>
            </w:tcMar>
            <w:vAlign w:val="top"/>
          </w:tcPr>
          <w:p>
            <w:pPr>
              <w:pStyle w:val="BodyText"/>
              <w:spacing w:after="0"/>
            </w:pPr>
            <w:r>
              <w:rPr>
                <w:sz w:val="17"/>
              </w:rPr>
              <w:t>Voix + borne texte</w:t>
            </w:r>
          </w:p>
        </w:tc>
      </w:tr>
      <w:tr>
        <w:tc>
          <w:tcPr>
            <w:tcW w:type="dxa" w:w="3324"/>
            <w:tcMar>
              <w:top w:w="110" w:type="dxa"/>
              <w:start w:w="110" w:type="dxa"/>
              <w:bottom w:w="110" w:type="dxa"/>
              <w:end w:w="110" w:type="dxa"/>
            </w:tcMar>
            <w:vAlign w:val="top"/>
          </w:tcPr>
          <w:p>
            <w:pPr>
              <w:pStyle w:val="BodyText"/>
              <w:spacing w:after="0"/>
            </w:pPr>
            <w:r>
              <w:rPr>
                <w:sz w:val="17"/>
              </w:rPr>
              <w:t>Sources</w:t>
            </w:r>
          </w:p>
        </w:tc>
        <w:tc>
          <w:tcPr>
            <w:tcW w:type="dxa" w:w="3324"/>
            <w:tcMar>
              <w:top w:w="110" w:type="dxa"/>
              <w:start w:w="110" w:type="dxa"/>
              <w:bottom w:w="110" w:type="dxa"/>
              <w:end w:w="110" w:type="dxa"/>
            </w:tcMar>
            <w:vAlign w:val="top"/>
          </w:tcPr>
          <w:p>
            <w:pPr>
              <w:pStyle w:val="BodyText"/>
              <w:spacing w:after="0"/>
            </w:pPr>
            <w:r>
              <w:rPr>
                <w:sz w:val="17"/>
              </w:rPr>
              <w:t>Après l’échange</w:t>
            </w:r>
          </w:p>
        </w:tc>
        <w:tc>
          <w:tcPr>
            <w:tcW w:type="dxa" w:w="3324"/>
            <w:tcMar>
              <w:top w:w="110" w:type="dxa"/>
              <w:start w:w="110" w:type="dxa"/>
              <w:bottom w:w="110" w:type="dxa"/>
              <w:end w:w="110" w:type="dxa"/>
            </w:tcMar>
            <w:vAlign w:val="top"/>
          </w:tcPr>
          <w:p>
            <w:pPr>
              <w:pStyle w:val="BodyText"/>
              <w:spacing w:after="0"/>
            </w:pPr>
            <w:r>
              <w:rPr>
                <w:sz w:val="17"/>
              </w:rPr>
              <w:t>Références discrètes pendant certaines réponses</w:t>
            </w:r>
          </w:p>
        </w:tc>
      </w:tr>
      <w:tr>
        <w:tc>
          <w:tcPr>
            <w:tcW w:type="dxa" w:w="3324"/>
            <w:tcMar>
              <w:top w:w="110" w:type="dxa"/>
              <w:start w:w="110" w:type="dxa"/>
              <w:bottom w:w="110" w:type="dxa"/>
              <w:end w:w="110" w:type="dxa"/>
            </w:tcMar>
            <w:vAlign w:val="top"/>
          </w:tcPr>
          <w:p>
            <w:pPr>
              <w:pStyle w:val="BodyText"/>
              <w:spacing w:after="0"/>
            </w:pPr>
            <w:r>
              <w:rPr>
                <w:sz w:val="17"/>
              </w:rPr>
              <w:t>Fissure visuelle</w:t>
            </w:r>
          </w:p>
        </w:tc>
        <w:tc>
          <w:tcPr>
            <w:tcW w:type="dxa" w:w="3324"/>
            <w:tcMar>
              <w:top w:w="110" w:type="dxa"/>
              <w:start w:w="110" w:type="dxa"/>
              <w:bottom w:w="110" w:type="dxa"/>
              <w:end w:w="110" w:type="dxa"/>
            </w:tcMar>
            <w:vAlign w:val="top"/>
          </w:tcPr>
          <w:p>
            <w:pPr>
              <w:pStyle w:val="BodyText"/>
              <w:spacing w:after="0"/>
            </w:pPr>
            <w:r>
              <w:rPr>
                <w:sz w:val="17"/>
              </w:rPr>
              <w:t>Jeu d’acteur uniquement</w:t>
            </w:r>
          </w:p>
        </w:tc>
        <w:tc>
          <w:tcPr>
            <w:tcW w:type="dxa" w:w="3324"/>
            <w:tcMar>
              <w:top w:w="110" w:type="dxa"/>
              <w:start w:w="110" w:type="dxa"/>
              <w:bottom w:w="110" w:type="dxa"/>
              <w:end w:w="110" w:type="dxa"/>
            </w:tcMar>
            <w:vAlign w:val="top"/>
          </w:tcPr>
          <w:p>
            <w:pPr>
              <w:pStyle w:val="BodyText"/>
              <w:spacing w:after="0"/>
            </w:pPr>
            <w:r>
              <w:rPr>
                <w:sz w:val="17"/>
              </w:rPr>
              <w:t>Jeu d’acteur + altérations numériques subtiles</w:t>
            </w:r>
          </w:p>
        </w:tc>
      </w:tr>
      <w:tr>
        <w:tc>
          <w:tcPr>
            <w:tcW w:type="dxa" w:w="3324"/>
            <w:tcMar>
              <w:top w:w="110" w:type="dxa"/>
              <w:start w:w="110" w:type="dxa"/>
              <w:bottom w:w="110" w:type="dxa"/>
              <w:end w:w="110" w:type="dxa"/>
            </w:tcMar>
            <w:vAlign w:val="top"/>
          </w:tcPr>
          <w:p>
            <w:pPr>
              <w:pStyle w:val="BodyText"/>
              <w:spacing w:after="0"/>
            </w:pPr>
            <w:r>
              <w:rPr>
                <w:sz w:val="17"/>
              </w:rPr>
              <w:t>Durée</w:t>
            </w:r>
          </w:p>
        </w:tc>
        <w:tc>
          <w:tcPr>
            <w:tcW w:type="dxa" w:w="3324"/>
            <w:tcMar>
              <w:top w:w="110" w:type="dxa"/>
              <w:start w:w="110" w:type="dxa"/>
              <w:bottom w:w="110" w:type="dxa"/>
              <w:end w:w="110" w:type="dxa"/>
            </w:tcMar>
            <w:vAlign w:val="top"/>
          </w:tcPr>
          <w:p>
            <w:pPr>
              <w:pStyle w:val="BodyText"/>
              <w:spacing w:after="0"/>
            </w:pPr>
            <w:r>
              <w:rPr>
                <w:sz w:val="17"/>
              </w:rPr>
              <w:t>Session libre avec limite douce</w:t>
            </w:r>
          </w:p>
        </w:tc>
        <w:tc>
          <w:tcPr>
            <w:tcW w:type="dxa" w:w="3324"/>
            <w:tcMar>
              <w:top w:w="110" w:type="dxa"/>
              <w:start w:w="110" w:type="dxa"/>
              <w:bottom w:w="110" w:type="dxa"/>
              <w:end w:w="110" w:type="dxa"/>
            </w:tcMar>
            <w:vAlign w:val="top"/>
          </w:tcPr>
          <w:p>
            <w:pPr>
              <w:pStyle w:val="BodyText"/>
              <w:spacing w:after="0"/>
            </w:pPr>
            <w:r>
              <w:rPr>
                <w:sz w:val="17"/>
              </w:rPr>
              <w:t>Séquence de 3 à 5 minutes puis clôture dramaturgique</w:t>
            </w:r>
          </w:p>
        </w:tc>
      </w:tr>
    </w:tbl>
    <w:p/>
    <w:p>
      <w:pPr>
        <w:pStyle w:val="Heading1"/>
        <w:keepNext/>
        <w:pBdr>
          <w:bottom w:val="single" w:sz="10" w:space="1" w:color="8C3B3B"/>
        </w:pBdr>
        <w:spacing w:before="180" w:after="100"/>
      </w:pPr>
      <w:r>
        <w:t>28. Formulation courte pour dossier / appel à projet</w:t>
      </w:r>
    </w:p>
    <w:p>
      <w:pPr>
        <w:pStyle w:val="Lead"/>
      </w:pPr>
      <w:r>
        <w:t>Léopold 2.0 est un portrait conversationnel augmenté qui place le public face à une reconstruction documentée de Léopold II. Alimenté par des archives historiques, le personnage tente de défendre son récit, de déplacer sa responsabilité et de mobiliser le contexte de son époque. À mesure que le visiteur confronte ses réponses aux contradictions de l’Histoire, son assurance se fissure. Entre tableau vivant, théâtre interactif, procès symbolique et archive augmentée, l’installation utilise l’intelligence artificielle pour interroger la fabrication du pouvoir, la mémoire coloniale belge et notre rapport contemporain aux récits automatisés.</w:t>
      </w:r>
    </w:p>
    <w:p>
      <w:pPr>
        <w:pStyle w:val="Heading1"/>
        <w:keepNext/>
        <w:pBdr>
          <w:bottom w:val="single" w:sz="10" w:space="1" w:color="8C3B3B"/>
        </w:pBdr>
        <w:spacing w:before="180" w:after="100"/>
      </w:pPr>
      <w:r>
        <w:t>29. Source et statut des développements</w:t>
      </w:r>
    </w:p>
    <w:p>
      <w:pPr>
        <w:pStyle w:val="BodyText"/>
      </w:pPr>
      <w:r>
        <w:rPr>
          <w:b/>
        </w:rPr>
        <w:t xml:space="preserve">Source initiale : </w:t>
      </w:r>
      <w:r>
        <w:t>« Dialogue avec Léopold II.txt », description succincte du projet, titre provisoire « Audience avec Léopold II ».</w:t>
      </w:r>
    </w:p>
    <w:p>
      <w:pPr>
        <w:pStyle w:val="BodyText"/>
      </w:pPr>
      <w:r>
        <w:rPr>
          <w:b/>
        </w:rPr>
        <w:t xml:space="preserve">Éléments explicitement définis dans la source : </w:t>
      </w:r>
      <w:r>
        <w:t>portrait conversationnel animé ; intelligence artificielle ; archives historiques ; écriture dramaturgique ; confrontation critique ; justification et déplacement de responsabilité ; psychologie interne et fissuration ; motivations économiques, politiques, personnelles et symboliques ; cadre, écran, voix de synthèse, micro, reconnaissance vocale ; interaction orale ou textuelle ; tableau vivant, théâtre interactif, procès symbolique, archive augmentée ; mémoire et responsabilité historique.</w:t>
      </w:r>
    </w:p>
    <w:p>
      <w:pPr>
        <w:pStyle w:val="BodyText"/>
      </w:pPr>
      <w:r>
        <w:rPr>
          <w:b/>
        </w:rPr>
        <w:t xml:space="preserve">Éléments développés ici : </w:t>
      </w:r>
      <w:r>
        <w:t>parcours visiteur détaillé, états dramaturgiques, variables psychologiques, animation, scénographie, architecture logicielle, politique documentaire, format de réponse interne, règles moteur, matériel, MVP, roadmap, équipe, risques, critères d’évaluation, médiation et arbitrages. Ils sont proposés à validation et ne sont pas présentés comme déjà actés dans la source.</w:t>
      </w:r>
    </w:p>
    <w:p>
      <w:r>
        <w:br w:type="page"/>
      </w:r>
    </w:p>
    <w:p>
      <w:pPr>
        <w:pStyle w:val="Kicker"/>
        <w:jc w:val="center"/>
      </w:pPr>
      <w:r>
        <w:t>LÉOPOLD 2.0</w:t>
      </w:r>
    </w:p>
    <w:p>
      <w:pPr>
        <w:pStyle w:val="Lead"/>
        <w:jc w:val="center"/>
      </w:pPr>
      <w:r>
        <w:t>Un pouvoir artificiellement rendu à la parole, pour mieux observer comment il tente encore de contrôler le récit.</w:t>
      </w:r>
    </w:p>
    <w:sectPr w:rsidR="00FC693F" w:rsidRPr="0006063C" w:rsidSect="00034616">
      <w:headerReference w:type="default" r:id="rId9"/>
      <w:footerReference w:type="default" r:id="rId10"/>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Concept artistique • dramaturgie • architecture technique • document de travail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pBdr>
        <w:bottom w:val="single" w:sz="10" w:space="1" w:color="AFA39A"/>
      </w:pBdr>
    </w:pPr>
    <w:r>
      <w:t>LÉOPOLD 2.0  —  DOSSIER DE PROJET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3333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7B262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9292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7B262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D1D1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9" w:lineRule="auto"/>
    </w:pPr>
    <w:rPr>
      <w:rFonts w:ascii="Arial" w:hAnsi="Arial"/>
      <w:color w:val="333333"/>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rPr>
      <w:rFonts w:ascii="Arial" w:hAnsi="Arial"/>
      <w:b/>
      <w:color w:val="6E6E6E"/>
      <w:sz w:val="17"/>
    </w:rPr>
  </w:style>
  <w:style w:type="paragraph" w:customStyle="1" w:styleId="Lead">
    <w:name w:val="Lead"/>
    <w:pPr>
      <w:spacing w:after="240"/>
    </w:pPr>
    <w:rPr>
      <w:rFonts w:ascii="Arial" w:hAnsi="Arial"/>
      <w:i/>
      <w:color w:val="3C3C3C"/>
      <w:sz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Léopold 2.0 — Dossier de projet</dc:title>
  <dc:subject>Installation artistique interactive — IA, archives et mémoire coloniale</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